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8194B">
      <w:pPr>
        <w:spacing w:line="240" w:lineRule="auto"/>
        <w:jc w:val="center"/>
        <w:rPr>
          <w:rFonts w:hint="eastAsia"/>
          <w:b/>
          <w:color w:val="000000"/>
          <w:sz w:val="36"/>
          <w:szCs w:val="36"/>
          <w:lang w:eastAsia="zh-CN"/>
        </w:rPr>
      </w:pPr>
      <w:bookmarkStart w:id="0" w:name="OLE_LINK1"/>
      <w:r>
        <w:rPr>
          <w:rFonts w:hint="eastAsia"/>
          <w:b/>
          <w:color w:val="000000"/>
          <w:sz w:val="36"/>
          <w:szCs w:val="36"/>
          <w:lang w:eastAsia="zh-CN"/>
        </w:rPr>
        <w:t>广州中医药大学第一附属医院白云医院</w:t>
      </w:r>
    </w:p>
    <w:p w14:paraId="6E66E6BB">
      <w:pPr>
        <w:spacing w:line="360" w:lineRule="auto"/>
        <w:jc w:val="center"/>
        <w:rPr>
          <w:rFonts w:hint="eastAsia"/>
          <w:b/>
          <w:color w:val="000000"/>
          <w:sz w:val="36"/>
          <w:szCs w:val="36"/>
          <w:lang w:eastAsia="zh-CN"/>
        </w:rPr>
      </w:pPr>
      <w:r>
        <w:rPr>
          <w:rFonts w:hint="eastAsia"/>
          <w:b/>
          <w:sz w:val="36"/>
          <w:szCs w:val="36"/>
          <w:lang w:eastAsia="zh-CN"/>
        </w:rPr>
        <w:t>信息资源容灾备份项目</w:t>
      </w:r>
    </w:p>
    <w:p w14:paraId="7C4958FE">
      <w:pPr>
        <w:spacing w:line="240" w:lineRule="auto"/>
        <w:jc w:val="center"/>
        <w:rPr>
          <w:b/>
          <w:color w:val="000000"/>
          <w:sz w:val="36"/>
          <w:szCs w:val="36"/>
        </w:rPr>
      </w:pPr>
      <w:r>
        <w:rPr>
          <w:rFonts w:hint="eastAsia"/>
          <w:b/>
          <w:color w:val="000000"/>
          <w:sz w:val="36"/>
          <w:szCs w:val="36"/>
          <w:lang w:eastAsia="zh-CN"/>
        </w:rPr>
        <w:t>需求调研</w:t>
      </w:r>
      <w:r>
        <w:rPr>
          <w:rFonts w:hint="eastAsia"/>
          <w:b/>
          <w:color w:val="000000"/>
          <w:sz w:val="36"/>
          <w:szCs w:val="36"/>
        </w:rPr>
        <w:t>公告</w:t>
      </w:r>
    </w:p>
    <w:p w14:paraId="6ED3A31C">
      <w:pPr>
        <w:spacing w:line="360" w:lineRule="auto"/>
        <w:rPr>
          <w:rFonts w:ascii="宋体" w:hAnsi="宋体"/>
          <w:b/>
          <w:color w:val="000000"/>
          <w:sz w:val="24"/>
          <w:szCs w:val="24"/>
        </w:rPr>
      </w:pPr>
    </w:p>
    <w:p w14:paraId="1F43916F">
      <w:pPr>
        <w:numPr>
          <w:ilvl w:val="0"/>
          <w:numId w:val="0"/>
        </w:numPr>
        <w:spacing w:line="360" w:lineRule="auto"/>
        <w:rPr>
          <w:rFonts w:hint="eastAsia" w:ascii="宋体" w:hAnsi="宋体"/>
          <w:b/>
          <w:bCs/>
          <w:color w:val="000000"/>
          <w:sz w:val="24"/>
          <w:szCs w:val="24"/>
          <w:highlight w:val="none"/>
        </w:rPr>
      </w:pPr>
      <w:r>
        <w:rPr>
          <w:rFonts w:hint="eastAsia" w:ascii="宋体" w:hAnsi="宋体"/>
          <w:b/>
          <w:bCs/>
          <w:color w:val="000000"/>
          <w:kern w:val="2"/>
          <w:sz w:val="24"/>
          <w:szCs w:val="24"/>
          <w:lang w:val="en-US" w:eastAsia="zh-CN" w:bidi="ar-SA"/>
        </w:rPr>
        <w:t>一、</w:t>
      </w:r>
      <w:r>
        <w:rPr>
          <w:rFonts w:hint="eastAsia" w:ascii="宋体" w:hAnsi="宋体"/>
          <w:b/>
          <w:bCs/>
          <w:color w:val="000000"/>
          <w:sz w:val="24"/>
          <w:szCs w:val="24"/>
          <w:highlight w:val="none"/>
        </w:rPr>
        <w:t>项目概况：</w:t>
      </w:r>
    </w:p>
    <w:p w14:paraId="19264726">
      <w:pPr>
        <w:numPr>
          <w:ilvl w:val="0"/>
          <w:numId w:val="0"/>
        </w:numPr>
        <w:spacing w:line="360" w:lineRule="auto"/>
        <w:rPr>
          <w:rFonts w:hint="eastAsia" w:ascii="宋体" w:hAnsi="宋体"/>
          <w:color w:val="000000"/>
          <w:sz w:val="24"/>
          <w:szCs w:val="24"/>
          <w:highlight w:val="none"/>
        </w:rPr>
      </w:pPr>
      <w:r>
        <w:rPr>
          <w:rFonts w:hint="eastAsia" w:ascii="宋体" w:hAnsi="宋体"/>
          <w:color w:val="000000"/>
          <w:sz w:val="24"/>
          <w:szCs w:val="24"/>
          <w:highlight w:val="none"/>
        </w:rPr>
        <w:t>（一）</w:t>
      </w:r>
      <w:r>
        <w:rPr>
          <w:rFonts w:hint="eastAsia" w:ascii="宋体" w:hAnsi="宋体"/>
          <w:color w:val="000000"/>
          <w:sz w:val="24"/>
          <w:szCs w:val="24"/>
          <w:highlight w:val="none"/>
          <w:lang w:eastAsia="zh-CN"/>
        </w:rPr>
        <w:t>需求调研</w:t>
      </w:r>
      <w:r>
        <w:rPr>
          <w:rFonts w:hint="eastAsia" w:ascii="宋体" w:hAnsi="宋体"/>
          <w:color w:val="000000"/>
          <w:sz w:val="24"/>
          <w:szCs w:val="24"/>
          <w:highlight w:val="none"/>
        </w:rPr>
        <w:t>目的：广州中医</w:t>
      </w:r>
      <w:r>
        <w:rPr>
          <w:rFonts w:hint="eastAsia" w:ascii="宋体" w:hAnsi="宋体"/>
          <w:color w:val="000000"/>
          <w:sz w:val="24"/>
          <w:szCs w:val="24"/>
          <w:highlight w:val="none"/>
          <w:lang w:val="en-US" w:eastAsia="zh-CN"/>
        </w:rPr>
        <w:t>药</w:t>
      </w:r>
      <w:r>
        <w:rPr>
          <w:rFonts w:hint="eastAsia" w:ascii="宋体" w:hAnsi="宋体"/>
          <w:color w:val="000000"/>
          <w:sz w:val="24"/>
          <w:szCs w:val="24"/>
          <w:highlight w:val="none"/>
        </w:rPr>
        <w:t>大学第一附属医院白云医院信息资源容灾备份项目报价。</w:t>
      </w:r>
    </w:p>
    <w:p w14:paraId="145C8DF2">
      <w:pPr>
        <w:numPr>
          <w:ilvl w:val="0"/>
          <w:numId w:val="0"/>
        </w:numPr>
        <w:spacing w:line="360" w:lineRule="auto"/>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（二）本项目地点</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广州市白云区人和镇鹤龙7路2号</w:t>
      </w:r>
      <w:r>
        <w:rPr>
          <w:rFonts w:hint="eastAsia" w:ascii="宋体" w:hAnsi="宋体"/>
          <w:color w:val="000000"/>
          <w:sz w:val="24"/>
          <w:szCs w:val="24"/>
          <w:highlight w:val="none"/>
          <w:lang w:eastAsia="zh-CN"/>
        </w:rPr>
        <w:t>。</w:t>
      </w:r>
    </w:p>
    <w:p w14:paraId="6A305A2D">
      <w:pPr>
        <w:spacing w:line="360" w:lineRule="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二</w:t>
      </w:r>
      <w:r>
        <w:rPr>
          <w:rFonts w:hint="eastAsia" w:ascii="宋体" w:hAnsi="宋体" w:eastAsia="宋体" w:cs="宋体"/>
          <w:b/>
          <w:bCs/>
          <w:color w:val="000000"/>
          <w:sz w:val="24"/>
          <w:szCs w:val="24"/>
          <w:highlight w:val="none"/>
        </w:rPr>
        <w:t>、项目需求：</w:t>
      </w:r>
    </w:p>
    <w:p w14:paraId="28C26B8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详见公告附件《</w:t>
      </w:r>
      <w:r>
        <w:rPr>
          <w:rFonts w:hint="eastAsia" w:ascii="宋体" w:hAnsi="宋体"/>
          <w:color w:val="000000"/>
          <w:sz w:val="24"/>
          <w:szCs w:val="24"/>
          <w:highlight w:val="none"/>
        </w:rPr>
        <w:t>广州中医</w:t>
      </w:r>
      <w:r>
        <w:rPr>
          <w:rFonts w:hint="eastAsia" w:ascii="宋体" w:hAnsi="宋体"/>
          <w:color w:val="000000"/>
          <w:sz w:val="24"/>
          <w:szCs w:val="24"/>
          <w:highlight w:val="none"/>
          <w:lang w:val="en-US" w:eastAsia="zh-CN"/>
        </w:rPr>
        <w:t>药</w:t>
      </w:r>
      <w:r>
        <w:rPr>
          <w:rFonts w:hint="eastAsia" w:ascii="宋体" w:hAnsi="宋体"/>
          <w:color w:val="000000"/>
          <w:sz w:val="24"/>
          <w:szCs w:val="24"/>
          <w:highlight w:val="none"/>
        </w:rPr>
        <w:t>大学第一附属医院白云医院信息资源容灾备份项目</w:t>
      </w:r>
      <w:r>
        <w:rPr>
          <w:rFonts w:hint="eastAsia" w:ascii="宋体" w:hAnsi="宋体" w:eastAsia="宋体" w:cs="宋体"/>
          <w:color w:val="000000"/>
          <w:sz w:val="24"/>
          <w:szCs w:val="24"/>
          <w:highlight w:val="none"/>
          <w:lang w:eastAsia="zh-CN"/>
        </w:rPr>
        <w:t>需求</w:t>
      </w:r>
      <w:r>
        <w:rPr>
          <w:rFonts w:hint="eastAsia" w:ascii="宋体" w:hAnsi="宋体" w:eastAsia="宋体" w:cs="宋体"/>
          <w:color w:val="000000"/>
          <w:sz w:val="24"/>
          <w:szCs w:val="24"/>
          <w:highlight w:val="none"/>
        </w:rPr>
        <w:t>清单</w:t>
      </w:r>
      <w:r>
        <w:rPr>
          <w:rFonts w:hint="eastAsia" w:ascii="宋体" w:hAnsi="宋体" w:eastAsia="宋体" w:cs="宋体"/>
          <w:color w:val="000000"/>
          <w:sz w:val="24"/>
          <w:szCs w:val="24"/>
          <w:highlight w:val="none"/>
          <w:lang w:eastAsia="zh-CN"/>
        </w:rPr>
        <w:t>文件</w:t>
      </w:r>
      <w:r>
        <w:rPr>
          <w:rFonts w:hint="eastAsia" w:ascii="宋体" w:hAnsi="宋体" w:eastAsia="宋体" w:cs="宋体"/>
          <w:color w:val="000000"/>
          <w:sz w:val="24"/>
          <w:szCs w:val="24"/>
          <w:highlight w:val="none"/>
        </w:rPr>
        <w:t>》</w:t>
      </w:r>
    </w:p>
    <w:p w14:paraId="0747661E">
      <w:pPr>
        <w:widowControl/>
        <w:numPr>
          <w:ilvl w:val="0"/>
          <w:numId w:val="0"/>
        </w:numPr>
        <w:autoSpaceDN w:val="0"/>
        <w:snapToGrid w:val="0"/>
        <w:spacing w:line="360" w:lineRule="auto"/>
        <w:ind w:left="0" w:leftChars="0"/>
        <w:rPr>
          <w:rFonts w:hint="eastAsia" w:ascii="宋体" w:hAnsi="宋体" w:cs="宋体"/>
          <w:b/>
          <w:bCs/>
          <w:snapToGrid w:val="0"/>
          <w:kern w:val="0"/>
          <w:sz w:val="24"/>
          <w:highlight w:val="none"/>
        </w:rPr>
      </w:pPr>
      <w:r>
        <w:rPr>
          <w:rFonts w:hint="eastAsia" w:ascii="宋体" w:hAnsi="宋体" w:cs="宋体"/>
          <w:b/>
          <w:bCs/>
          <w:snapToGrid w:val="0"/>
          <w:kern w:val="0"/>
          <w:sz w:val="24"/>
          <w:szCs w:val="22"/>
          <w:lang w:val="en-US" w:eastAsia="zh-CN" w:bidi="ar-SA"/>
        </w:rPr>
        <w:t>三、</w:t>
      </w:r>
      <w:r>
        <w:rPr>
          <w:rFonts w:hint="eastAsia" w:ascii="宋体" w:hAnsi="宋体" w:cs="宋体"/>
          <w:b/>
          <w:bCs/>
          <w:snapToGrid w:val="0"/>
          <w:kern w:val="0"/>
          <w:sz w:val="24"/>
          <w:highlight w:val="none"/>
          <w:lang w:val="en-US" w:eastAsia="zh-CN"/>
        </w:rPr>
        <w:t>报价要求</w:t>
      </w:r>
      <w:r>
        <w:rPr>
          <w:rFonts w:hint="eastAsia" w:ascii="宋体" w:hAnsi="宋体" w:cs="宋体"/>
          <w:b/>
          <w:bCs/>
          <w:snapToGrid w:val="0"/>
          <w:kern w:val="0"/>
          <w:sz w:val="24"/>
          <w:highlight w:val="none"/>
        </w:rPr>
        <w:t>：</w:t>
      </w:r>
    </w:p>
    <w:p w14:paraId="3C9D28E5">
      <w:pPr>
        <w:widowControl/>
        <w:numPr>
          <w:ilvl w:val="0"/>
          <w:numId w:val="0"/>
        </w:numPr>
        <w:autoSpaceDN w:val="0"/>
        <w:snapToGrid w:val="0"/>
        <w:spacing w:line="360" w:lineRule="auto"/>
        <w:ind w:left="0" w:leftChars="0"/>
        <w:rPr>
          <w:rFonts w:hint="eastAsia" w:ascii="宋体" w:hAnsi="宋体" w:cs="宋体"/>
          <w:snapToGrid w:val="0"/>
          <w:color w:val="000000"/>
          <w:kern w:val="0"/>
          <w:sz w:val="24"/>
          <w:highlight w:val="none"/>
        </w:rPr>
      </w:pPr>
      <w:r>
        <w:rPr>
          <w:rFonts w:hint="eastAsia" w:ascii="宋体" w:hAnsi="宋体" w:cs="宋体"/>
          <w:snapToGrid w:val="0"/>
          <w:kern w:val="0"/>
          <w:sz w:val="24"/>
          <w:highlight w:val="none"/>
        </w:rPr>
        <w:t>根据项目需求附件中的报价单格式进行报价</w:t>
      </w:r>
      <w:r>
        <w:rPr>
          <w:rFonts w:hint="eastAsia" w:ascii="宋体" w:hAnsi="宋体" w:cs="宋体"/>
          <w:snapToGrid w:val="0"/>
          <w:color w:val="000000"/>
          <w:kern w:val="0"/>
          <w:sz w:val="24"/>
          <w:highlight w:val="none"/>
        </w:rPr>
        <w:t>，包含但不限于人工费、安装费、调试费、管理费、利润、风险费、所有税费及国家政府的有关规费、社保金等。</w:t>
      </w:r>
    </w:p>
    <w:p w14:paraId="080BED79">
      <w:pPr>
        <w:widowControl/>
        <w:numPr>
          <w:ilvl w:val="0"/>
          <w:numId w:val="1"/>
        </w:numPr>
        <w:autoSpaceDN w:val="0"/>
        <w:snapToGrid w:val="0"/>
        <w:spacing w:line="360" w:lineRule="auto"/>
        <w:ind w:left="0" w:leftChars="0"/>
        <w:rPr>
          <w:rFonts w:hint="eastAsia" w:ascii="宋体" w:hAnsi="宋体" w:cs="宋体"/>
          <w:b/>
          <w:bCs/>
          <w:snapToGrid w:val="0"/>
          <w:color w:val="000000"/>
          <w:kern w:val="0"/>
          <w:sz w:val="24"/>
          <w:highlight w:val="none"/>
          <w:lang w:eastAsia="zh-CN"/>
        </w:rPr>
      </w:pPr>
      <w:r>
        <w:rPr>
          <w:rFonts w:hint="eastAsia" w:ascii="宋体" w:hAnsi="宋体" w:cs="宋体"/>
          <w:b/>
          <w:bCs/>
          <w:snapToGrid w:val="0"/>
          <w:color w:val="000000"/>
          <w:kern w:val="0"/>
          <w:sz w:val="24"/>
          <w:highlight w:val="none"/>
          <w:lang w:eastAsia="zh-CN"/>
        </w:rPr>
        <w:t>服务内容：</w:t>
      </w:r>
    </w:p>
    <w:p w14:paraId="6AB87DB6">
      <w:pPr>
        <w:pStyle w:val="2"/>
        <w:rPr>
          <w:rFonts w:hint="eastAsia" w:ascii="宋体" w:hAnsi="宋体" w:cs="宋体"/>
          <w:szCs w:val="21"/>
        </w:rPr>
      </w:pPr>
    </w:p>
    <w:tbl>
      <w:tblPr>
        <w:tblStyle w:val="4"/>
        <w:tblW w:w="8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336"/>
        <w:gridCol w:w="5525"/>
      </w:tblGrid>
      <w:tr w14:paraId="6EA6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restart"/>
            <w:vAlign w:val="center"/>
          </w:tcPr>
          <w:p w14:paraId="7B5E1C61">
            <w:pPr>
              <w:jc w:val="center"/>
              <w:rPr>
                <w:rFonts w:hint="eastAsia" w:asciiTheme="minorEastAsia" w:hAnsiTheme="minorEastAsia" w:eastAsiaTheme="minorEastAsia"/>
                <w:szCs w:val="21"/>
              </w:rPr>
            </w:pPr>
            <w:r>
              <w:rPr>
                <w:rFonts w:hint="eastAsia" w:asciiTheme="minorEastAsia" w:hAnsiTheme="minorEastAsia" w:eastAsiaTheme="minorEastAsia"/>
                <w:szCs w:val="21"/>
              </w:rPr>
              <w:t>实时容灾系统</w:t>
            </w:r>
          </w:p>
        </w:tc>
        <w:tc>
          <w:tcPr>
            <w:tcW w:w="1336" w:type="dxa"/>
            <w:vAlign w:val="center"/>
          </w:tcPr>
          <w:p w14:paraId="72FFD406">
            <w:pPr>
              <w:jc w:val="center"/>
              <w:rPr>
                <w:rFonts w:hint="eastAsia" w:asciiTheme="minorEastAsia" w:hAnsiTheme="minorEastAsia" w:eastAsiaTheme="minorEastAsia"/>
                <w:szCs w:val="21"/>
              </w:rPr>
            </w:pPr>
            <w:r>
              <w:rPr>
                <w:rFonts w:hint="eastAsia" w:asciiTheme="minorEastAsia" w:hAnsiTheme="minorEastAsia" w:eastAsiaTheme="minorEastAsia"/>
                <w:szCs w:val="21"/>
              </w:rPr>
              <w:t>硬件配置</w:t>
            </w:r>
          </w:p>
        </w:tc>
        <w:tc>
          <w:tcPr>
            <w:tcW w:w="5525" w:type="dxa"/>
            <w:vAlign w:val="center"/>
          </w:tcPr>
          <w:p w14:paraId="5B75D939">
            <w:pPr>
              <w:rPr>
                <w:rFonts w:hint="eastAsia" w:asciiTheme="minorEastAsia" w:hAnsiTheme="minorEastAsia" w:eastAsiaTheme="minorEastAsia"/>
                <w:szCs w:val="21"/>
              </w:rPr>
            </w:pPr>
            <w:r>
              <w:rPr>
                <w:rFonts w:hint="eastAsia" w:asciiTheme="minorEastAsia" w:hAnsiTheme="minorEastAsia" w:eastAsiaTheme="minorEastAsia"/>
                <w:szCs w:val="21"/>
              </w:rPr>
              <w:t>★2U机架式一体机设备；配置≥2个Intel 12核心处理器，配置≥256GB 内存，配置≥2个1Gbps千兆网口，≥2个10Gbps 万兆接口（含光模块），可扩展8Gb/16Gbps FC主机接口；配置≥2块480GB 企业级 SSD硬盘,配置≥8块8TB 企业级 SATA硬盘；配置热插拔双冗余电源。</w:t>
            </w:r>
          </w:p>
        </w:tc>
      </w:tr>
      <w:tr w14:paraId="3FB39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4643BEF4">
            <w:pPr>
              <w:jc w:val="center"/>
              <w:rPr>
                <w:rFonts w:hint="eastAsia" w:asciiTheme="minorEastAsia" w:hAnsiTheme="minorEastAsia" w:eastAsiaTheme="minorEastAsia"/>
                <w:szCs w:val="21"/>
              </w:rPr>
            </w:pPr>
          </w:p>
        </w:tc>
        <w:tc>
          <w:tcPr>
            <w:tcW w:w="1336" w:type="dxa"/>
            <w:vAlign w:val="center"/>
          </w:tcPr>
          <w:p w14:paraId="2228F494">
            <w:pPr>
              <w:jc w:val="center"/>
              <w:rPr>
                <w:rFonts w:hint="eastAsia" w:asciiTheme="minorEastAsia" w:hAnsiTheme="minorEastAsia" w:eastAsiaTheme="minorEastAsia"/>
                <w:szCs w:val="21"/>
              </w:rPr>
            </w:pPr>
            <w:r>
              <w:rPr>
                <w:rFonts w:hint="eastAsia" w:asciiTheme="minorEastAsia" w:hAnsiTheme="minorEastAsia" w:eastAsiaTheme="minorEastAsia"/>
                <w:szCs w:val="21"/>
              </w:rPr>
              <w:t>软件授权</w:t>
            </w:r>
          </w:p>
        </w:tc>
        <w:tc>
          <w:tcPr>
            <w:tcW w:w="5525" w:type="dxa"/>
            <w:vAlign w:val="center"/>
          </w:tcPr>
          <w:p w14:paraId="183B9C49">
            <w:pPr>
              <w:rPr>
                <w:rFonts w:hint="eastAsia" w:asciiTheme="minorEastAsia" w:hAnsiTheme="minorEastAsia" w:eastAsiaTheme="minorEastAsia"/>
                <w:szCs w:val="21"/>
              </w:rPr>
            </w:pPr>
            <w:r>
              <w:rPr>
                <w:rFonts w:hint="eastAsia" w:asciiTheme="minorEastAsia" w:hAnsiTheme="minorEastAsia" w:eastAsiaTheme="minorEastAsia"/>
                <w:szCs w:val="21"/>
              </w:rPr>
              <w:t>★本次配置物理节点授权≥2个，容灾保护容量授权≥40TB。如果是按照授权配置，主机实时保护许可≥500 个，验证主机许可 ≥500 个，接管主机许可≥500 个，实时恢复（业务HA热备）容灾授权≥500 个；</w:t>
            </w:r>
          </w:p>
        </w:tc>
      </w:tr>
      <w:tr w14:paraId="38EF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restart"/>
            <w:vAlign w:val="center"/>
          </w:tcPr>
          <w:p w14:paraId="41285D29">
            <w:pPr>
              <w:jc w:val="center"/>
              <w:rPr>
                <w:rFonts w:hint="eastAsia" w:asciiTheme="minorEastAsia" w:hAnsiTheme="minorEastAsia" w:eastAsiaTheme="minorEastAsia"/>
                <w:szCs w:val="21"/>
              </w:rPr>
            </w:pPr>
            <w:r>
              <w:rPr>
                <w:rFonts w:hint="eastAsia" w:asciiTheme="minorEastAsia" w:hAnsiTheme="minorEastAsia" w:eastAsiaTheme="minorEastAsia"/>
                <w:szCs w:val="21"/>
              </w:rPr>
              <w:t>功能要求</w:t>
            </w:r>
          </w:p>
        </w:tc>
        <w:tc>
          <w:tcPr>
            <w:tcW w:w="1336" w:type="dxa"/>
            <w:vMerge w:val="restart"/>
            <w:vAlign w:val="center"/>
          </w:tcPr>
          <w:p w14:paraId="21C01FA0">
            <w:pPr>
              <w:jc w:val="center"/>
              <w:rPr>
                <w:rFonts w:hint="eastAsia" w:asciiTheme="minorEastAsia" w:hAnsiTheme="minorEastAsia" w:eastAsiaTheme="minorEastAsia"/>
                <w:szCs w:val="21"/>
              </w:rPr>
            </w:pPr>
            <w:r>
              <w:rPr>
                <w:rFonts w:hint="eastAsia" w:asciiTheme="minorEastAsia" w:hAnsiTheme="minorEastAsia" w:eastAsiaTheme="minorEastAsia"/>
                <w:szCs w:val="21"/>
              </w:rPr>
              <w:t>基础要求</w:t>
            </w:r>
          </w:p>
        </w:tc>
        <w:tc>
          <w:tcPr>
            <w:tcW w:w="5525" w:type="dxa"/>
            <w:vAlign w:val="center"/>
          </w:tcPr>
          <w:p w14:paraId="628A1191">
            <w:pPr>
              <w:rPr>
                <w:rFonts w:hint="eastAsia" w:asciiTheme="minorEastAsia" w:hAnsiTheme="minorEastAsia" w:eastAsiaTheme="minorEastAsia"/>
                <w:szCs w:val="21"/>
              </w:rPr>
            </w:pPr>
            <w:r>
              <w:rPr>
                <w:rFonts w:hint="eastAsia" w:asciiTheme="minorEastAsia" w:hAnsiTheme="minorEastAsia" w:eastAsiaTheme="minorEastAsia"/>
                <w:szCs w:val="21"/>
              </w:rPr>
              <w:t>计算、存储、灾备一体的软硬一体机化设备</w:t>
            </w:r>
          </w:p>
        </w:tc>
      </w:tr>
      <w:tr w14:paraId="7504D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0C598B24">
            <w:pPr>
              <w:jc w:val="center"/>
              <w:rPr>
                <w:rFonts w:hint="eastAsia" w:asciiTheme="minorEastAsia" w:hAnsiTheme="minorEastAsia" w:eastAsiaTheme="minorEastAsia"/>
                <w:szCs w:val="21"/>
              </w:rPr>
            </w:pPr>
          </w:p>
        </w:tc>
        <w:tc>
          <w:tcPr>
            <w:tcW w:w="1336" w:type="dxa"/>
            <w:vMerge w:val="continue"/>
            <w:vAlign w:val="center"/>
          </w:tcPr>
          <w:p w14:paraId="4771DCC8">
            <w:pPr>
              <w:jc w:val="center"/>
              <w:rPr>
                <w:rFonts w:hint="eastAsia" w:asciiTheme="minorEastAsia" w:hAnsiTheme="minorEastAsia" w:eastAsiaTheme="minorEastAsia"/>
                <w:szCs w:val="21"/>
              </w:rPr>
            </w:pPr>
          </w:p>
        </w:tc>
        <w:tc>
          <w:tcPr>
            <w:tcW w:w="5525" w:type="dxa"/>
            <w:vAlign w:val="center"/>
          </w:tcPr>
          <w:p w14:paraId="762FCA68">
            <w:pPr>
              <w:rPr>
                <w:rFonts w:hint="eastAsia" w:asciiTheme="minorEastAsia" w:hAnsiTheme="minorEastAsia" w:eastAsiaTheme="minorEastAsia"/>
                <w:szCs w:val="21"/>
              </w:rPr>
            </w:pPr>
            <w:r>
              <w:rPr>
                <w:rFonts w:hint="eastAsia" w:asciiTheme="minorEastAsia" w:hAnsiTheme="minorEastAsia" w:eastAsiaTheme="minorEastAsia"/>
                <w:szCs w:val="21"/>
              </w:rPr>
              <w:t>支持备份、容灾、H</w:t>
            </w:r>
            <w:r>
              <w:rPr>
                <w:rFonts w:asciiTheme="minorEastAsia" w:hAnsiTheme="minorEastAsia" w:eastAsiaTheme="minorEastAsia"/>
                <w:szCs w:val="21"/>
              </w:rPr>
              <w:t>A</w:t>
            </w:r>
            <w:r>
              <w:rPr>
                <w:rFonts w:hint="eastAsia" w:asciiTheme="minorEastAsia" w:hAnsiTheme="minorEastAsia" w:eastAsiaTheme="minorEastAsia"/>
                <w:szCs w:val="21"/>
              </w:rPr>
              <w:t>、数据迁移等主要功能；</w:t>
            </w:r>
            <w:r>
              <w:rPr>
                <w:rFonts w:asciiTheme="minorEastAsia" w:hAnsiTheme="minorEastAsia" w:eastAsiaTheme="minorEastAsia"/>
                <w:szCs w:val="21"/>
              </w:rPr>
              <w:t xml:space="preserve"> </w:t>
            </w:r>
          </w:p>
        </w:tc>
      </w:tr>
      <w:tr w14:paraId="4607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25347D1C">
            <w:pPr>
              <w:jc w:val="center"/>
              <w:rPr>
                <w:rFonts w:hint="eastAsia" w:asciiTheme="minorEastAsia" w:hAnsiTheme="minorEastAsia" w:eastAsiaTheme="minorEastAsia"/>
                <w:szCs w:val="21"/>
              </w:rPr>
            </w:pPr>
          </w:p>
        </w:tc>
        <w:tc>
          <w:tcPr>
            <w:tcW w:w="1336" w:type="dxa"/>
            <w:vMerge w:val="continue"/>
            <w:vAlign w:val="center"/>
          </w:tcPr>
          <w:p w14:paraId="56801AF1">
            <w:pPr>
              <w:jc w:val="center"/>
              <w:rPr>
                <w:rFonts w:hint="eastAsia" w:asciiTheme="minorEastAsia" w:hAnsiTheme="minorEastAsia" w:eastAsiaTheme="minorEastAsia"/>
                <w:szCs w:val="21"/>
              </w:rPr>
            </w:pPr>
          </w:p>
        </w:tc>
        <w:tc>
          <w:tcPr>
            <w:tcW w:w="5525" w:type="dxa"/>
            <w:vAlign w:val="center"/>
          </w:tcPr>
          <w:p w14:paraId="0B9672FC">
            <w:pPr>
              <w:rPr>
                <w:rFonts w:hint="eastAsia" w:asciiTheme="minorEastAsia" w:hAnsiTheme="minorEastAsia" w:eastAsiaTheme="minorEastAsia"/>
                <w:szCs w:val="21"/>
              </w:rPr>
            </w:pPr>
            <w:r>
              <w:rPr>
                <w:rFonts w:hint="eastAsia" w:asciiTheme="minorEastAsia" w:hAnsiTheme="minorEastAsia" w:eastAsiaTheme="minorEastAsia"/>
                <w:szCs w:val="21"/>
              </w:rPr>
              <w:t>安装、卸载、备份过程不需要重启动的业务系统；</w:t>
            </w:r>
          </w:p>
        </w:tc>
      </w:tr>
      <w:tr w14:paraId="29446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302435AC">
            <w:pPr>
              <w:jc w:val="center"/>
              <w:rPr>
                <w:rFonts w:hint="eastAsia" w:asciiTheme="minorEastAsia" w:hAnsiTheme="minorEastAsia" w:eastAsiaTheme="minorEastAsia"/>
                <w:szCs w:val="21"/>
              </w:rPr>
            </w:pPr>
          </w:p>
        </w:tc>
        <w:tc>
          <w:tcPr>
            <w:tcW w:w="1336" w:type="dxa"/>
            <w:vMerge w:val="continue"/>
            <w:vAlign w:val="center"/>
          </w:tcPr>
          <w:p w14:paraId="1CE623C9">
            <w:pPr>
              <w:jc w:val="center"/>
              <w:rPr>
                <w:rFonts w:hint="eastAsia" w:asciiTheme="minorEastAsia" w:hAnsiTheme="minorEastAsia" w:eastAsiaTheme="minorEastAsia"/>
                <w:szCs w:val="21"/>
              </w:rPr>
            </w:pPr>
          </w:p>
        </w:tc>
        <w:tc>
          <w:tcPr>
            <w:tcW w:w="5525" w:type="dxa"/>
            <w:vAlign w:val="center"/>
          </w:tcPr>
          <w:p w14:paraId="43F7A2AC">
            <w:pPr>
              <w:rPr>
                <w:rFonts w:hint="eastAsia" w:asciiTheme="minorEastAsia" w:hAnsiTheme="minorEastAsia" w:eastAsiaTheme="minorEastAsia"/>
                <w:szCs w:val="21"/>
              </w:rPr>
            </w:pPr>
            <w:r>
              <w:rPr>
                <w:rFonts w:hint="eastAsia" w:asciiTheme="minorEastAsia" w:hAnsiTheme="minorEastAsia" w:eastAsiaTheme="minorEastAsia"/>
                <w:szCs w:val="21"/>
              </w:rPr>
              <w:t>★提供原厂商五年硬件，五年软件质保服务，包括业务系统变更、新增等备份与业务恢复等技术支持服务。提供一年高级服务，包含7*24小时远程支持、下一工作日现场支持、备份变更、新增等配置服务、补丁更新及软件升级服务。在产品质保期内，免费提供每年4次原厂技术巡检服务。</w:t>
            </w:r>
          </w:p>
        </w:tc>
      </w:tr>
      <w:tr w14:paraId="5902B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41D853B8">
            <w:pPr>
              <w:jc w:val="center"/>
              <w:rPr>
                <w:rFonts w:hint="eastAsia" w:asciiTheme="minorEastAsia" w:hAnsiTheme="minorEastAsia" w:eastAsiaTheme="minorEastAsia"/>
                <w:szCs w:val="21"/>
              </w:rPr>
            </w:pPr>
          </w:p>
        </w:tc>
        <w:tc>
          <w:tcPr>
            <w:tcW w:w="1336" w:type="dxa"/>
            <w:vMerge w:val="restart"/>
            <w:vAlign w:val="center"/>
          </w:tcPr>
          <w:p w14:paraId="697B512E">
            <w:pPr>
              <w:jc w:val="center"/>
              <w:rPr>
                <w:rFonts w:hint="eastAsia" w:asciiTheme="minorEastAsia" w:hAnsiTheme="minorEastAsia" w:eastAsiaTheme="minorEastAsia"/>
                <w:szCs w:val="21"/>
              </w:rPr>
            </w:pPr>
            <w:r>
              <w:rPr>
                <w:rFonts w:hint="eastAsia" w:asciiTheme="minorEastAsia" w:hAnsiTheme="minorEastAsia" w:eastAsiaTheme="minorEastAsia"/>
                <w:szCs w:val="21"/>
              </w:rPr>
              <w:t>平台要求</w:t>
            </w:r>
          </w:p>
        </w:tc>
        <w:tc>
          <w:tcPr>
            <w:tcW w:w="5525" w:type="dxa"/>
            <w:vAlign w:val="center"/>
          </w:tcPr>
          <w:p w14:paraId="3AE63764">
            <w:pPr>
              <w:rPr>
                <w:rFonts w:hint="eastAsia" w:asciiTheme="minorEastAsia" w:hAnsiTheme="minorEastAsia" w:eastAsiaTheme="minorEastAsia"/>
                <w:szCs w:val="21"/>
              </w:rPr>
            </w:pPr>
            <w:r>
              <w:rPr>
                <w:rFonts w:hint="eastAsia" w:asciiTheme="minorEastAsia" w:hAnsiTheme="minorEastAsia" w:eastAsiaTheme="minorEastAsia"/>
                <w:szCs w:val="21"/>
              </w:rPr>
              <w:t>提供开放式云平台，提供包括灾备云计算、存储及网络基础设施管理、灾备云运维支持、灾备云数据管理、灾备云安全管理、灾备云用户和服务管理、灾备任务展示等功能软件</w:t>
            </w:r>
          </w:p>
        </w:tc>
      </w:tr>
      <w:tr w14:paraId="3763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4D913729">
            <w:pPr>
              <w:jc w:val="center"/>
              <w:rPr>
                <w:rFonts w:hint="eastAsia" w:asciiTheme="minorEastAsia" w:hAnsiTheme="minorEastAsia" w:eastAsiaTheme="minorEastAsia"/>
                <w:szCs w:val="21"/>
              </w:rPr>
            </w:pPr>
          </w:p>
        </w:tc>
        <w:tc>
          <w:tcPr>
            <w:tcW w:w="1336" w:type="dxa"/>
            <w:vMerge w:val="continue"/>
            <w:vAlign w:val="center"/>
          </w:tcPr>
          <w:p w14:paraId="6955676E">
            <w:pPr>
              <w:jc w:val="center"/>
              <w:rPr>
                <w:rFonts w:hint="eastAsia" w:asciiTheme="minorEastAsia" w:hAnsiTheme="minorEastAsia" w:eastAsiaTheme="minorEastAsia"/>
                <w:szCs w:val="21"/>
              </w:rPr>
            </w:pPr>
          </w:p>
        </w:tc>
        <w:tc>
          <w:tcPr>
            <w:tcW w:w="5525" w:type="dxa"/>
            <w:vAlign w:val="center"/>
          </w:tcPr>
          <w:p w14:paraId="0C6DD183">
            <w:pPr>
              <w:rPr>
                <w:rFonts w:hint="eastAsia" w:asciiTheme="minorEastAsia" w:hAnsiTheme="minorEastAsia" w:eastAsiaTheme="minorEastAsia"/>
                <w:szCs w:val="21"/>
              </w:rPr>
            </w:pPr>
            <w:r>
              <w:rPr>
                <w:rFonts w:hint="eastAsia" w:asciiTheme="minorEastAsia" w:hAnsiTheme="minorEastAsia" w:eastAsiaTheme="minorEastAsia"/>
                <w:szCs w:val="21"/>
              </w:rPr>
              <w:t>▲提供WEB统一批量下发安装客户端，同时支持模板导入客户端信息安装，无需进行重启或其他操作，可快速完成安装部署工作，简化安装繁杂性。（须提供系统软件WEB一键客户端安装及模板导入客户端信息批量功能截图证明）</w:t>
            </w:r>
          </w:p>
        </w:tc>
      </w:tr>
      <w:tr w14:paraId="7BA6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8C9EE50">
            <w:pPr>
              <w:jc w:val="center"/>
              <w:rPr>
                <w:rFonts w:hint="eastAsia" w:asciiTheme="minorEastAsia" w:hAnsiTheme="minorEastAsia" w:eastAsiaTheme="minorEastAsia"/>
                <w:szCs w:val="21"/>
              </w:rPr>
            </w:pPr>
          </w:p>
        </w:tc>
        <w:tc>
          <w:tcPr>
            <w:tcW w:w="1336" w:type="dxa"/>
            <w:vMerge w:val="continue"/>
            <w:vAlign w:val="center"/>
          </w:tcPr>
          <w:p w14:paraId="144F0CBB">
            <w:pPr>
              <w:jc w:val="center"/>
              <w:rPr>
                <w:rFonts w:hint="eastAsia" w:asciiTheme="minorEastAsia" w:hAnsiTheme="minorEastAsia" w:eastAsiaTheme="minorEastAsia"/>
                <w:szCs w:val="21"/>
              </w:rPr>
            </w:pPr>
          </w:p>
        </w:tc>
        <w:tc>
          <w:tcPr>
            <w:tcW w:w="5525" w:type="dxa"/>
            <w:vAlign w:val="center"/>
          </w:tcPr>
          <w:p w14:paraId="37A8109D">
            <w:pPr>
              <w:rPr>
                <w:rFonts w:hint="eastAsia" w:asciiTheme="minorEastAsia" w:hAnsiTheme="minorEastAsia" w:eastAsiaTheme="minorEastAsia"/>
                <w:szCs w:val="21"/>
              </w:rPr>
            </w:pPr>
            <w:r>
              <w:rPr>
                <w:rFonts w:hint="eastAsia" w:asciiTheme="minorEastAsia" w:hAnsiTheme="minorEastAsia" w:eastAsiaTheme="minorEastAsia"/>
                <w:szCs w:val="21"/>
              </w:rPr>
              <w:t xml:space="preserve">提供在线自动更新或手动上传驱动程序管理，同时支持自定义上传第三方驱动定制化驱动重新，可自动适配多个品牌服务器间或者跨虚拟化平台间的应用场景； </w:t>
            </w:r>
          </w:p>
        </w:tc>
      </w:tr>
      <w:tr w14:paraId="3C6CA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0ED4393">
            <w:pPr>
              <w:jc w:val="center"/>
              <w:rPr>
                <w:rFonts w:hint="eastAsia" w:asciiTheme="minorEastAsia" w:hAnsiTheme="minorEastAsia" w:eastAsiaTheme="minorEastAsia"/>
                <w:szCs w:val="21"/>
              </w:rPr>
            </w:pPr>
          </w:p>
        </w:tc>
        <w:tc>
          <w:tcPr>
            <w:tcW w:w="1336" w:type="dxa"/>
            <w:vMerge w:val="continue"/>
            <w:vAlign w:val="center"/>
          </w:tcPr>
          <w:p w14:paraId="31819EFE">
            <w:pPr>
              <w:jc w:val="center"/>
              <w:rPr>
                <w:rFonts w:hint="eastAsia" w:asciiTheme="minorEastAsia" w:hAnsiTheme="minorEastAsia" w:eastAsiaTheme="minorEastAsia"/>
                <w:szCs w:val="21"/>
              </w:rPr>
            </w:pPr>
          </w:p>
        </w:tc>
        <w:tc>
          <w:tcPr>
            <w:tcW w:w="5525" w:type="dxa"/>
            <w:vAlign w:val="center"/>
          </w:tcPr>
          <w:p w14:paraId="54BD55A8">
            <w:pPr>
              <w:rPr>
                <w:rFonts w:hint="eastAsia" w:asciiTheme="minorEastAsia" w:hAnsiTheme="minorEastAsia" w:eastAsiaTheme="minorEastAsia"/>
                <w:szCs w:val="21"/>
              </w:rPr>
            </w:pPr>
            <w:r>
              <w:rPr>
                <w:rFonts w:hint="eastAsia" w:asciiTheme="minorEastAsia" w:hAnsiTheme="minorEastAsia" w:eastAsiaTheme="minorEastAsia"/>
                <w:szCs w:val="21"/>
              </w:rPr>
              <w:t>支持客户端别名标记，允许用户给特定的客户端设备设置一个别名或标记，不必依赖于设备IP地址、主机名或其他复杂的标识符。</w:t>
            </w:r>
          </w:p>
        </w:tc>
      </w:tr>
      <w:tr w14:paraId="5A387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20BA0B0">
            <w:pPr>
              <w:jc w:val="center"/>
              <w:rPr>
                <w:rFonts w:hint="eastAsia" w:asciiTheme="minorEastAsia" w:hAnsiTheme="minorEastAsia" w:eastAsiaTheme="minorEastAsia"/>
                <w:szCs w:val="21"/>
              </w:rPr>
            </w:pPr>
          </w:p>
        </w:tc>
        <w:tc>
          <w:tcPr>
            <w:tcW w:w="1336" w:type="dxa"/>
            <w:vMerge w:val="continue"/>
            <w:vAlign w:val="center"/>
          </w:tcPr>
          <w:p w14:paraId="4DCBA15F">
            <w:pPr>
              <w:jc w:val="center"/>
              <w:rPr>
                <w:rFonts w:hint="eastAsia" w:asciiTheme="minorEastAsia" w:hAnsiTheme="minorEastAsia" w:eastAsiaTheme="minorEastAsia"/>
                <w:szCs w:val="21"/>
              </w:rPr>
            </w:pPr>
          </w:p>
        </w:tc>
        <w:tc>
          <w:tcPr>
            <w:tcW w:w="5525" w:type="dxa"/>
            <w:vAlign w:val="center"/>
          </w:tcPr>
          <w:p w14:paraId="17FA857E">
            <w:pPr>
              <w:rPr>
                <w:rFonts w:hint="eastAsia" w:asciiTheme="minorEastAsia" w:hAnsiTheme="minorEastAsia" w:eastAsiaTheme="minorEastAsia"/>
                <w:szCs w:val="21"/>
              </w:rPr>
            </w:pPr>
            <w:r>
              <w:rPr>
                <w:rFonts w:hint="eastAsia" w:asciiTheme="minorEastAsia" w:hAnsiTheme="minorEastAsia" w:eastAsiaTheme="minorEastAsia"/>
                <w:szCs w:val="21"/>
              </w:rPr>
              <w:t>提供内嵌应急接管网络，可自定义设置接管网卡、网络类型，支持提供vlan/novlan配置，满足复杂网络环境的网络分段和管理。</w:t>
            </w:r>
          </w:p>
        </w:tc>
      </w:tr>
      <w:tr w14:paraId="4937A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39AA82E5">
            <w:pPr>
              <w:jc w:val="center"/>
              <w:rPr>
                <w:rFonts w:hint="eastAsia" w:asciiTheme="minorEastAsia" w:hAnsiTheme="minorEastAsia" w:eastAsiaTheme="minorEastAsia"/>
                <w:szCs w:val="21"/>
              </w:rPr>
            </w:pPr>
          </w:p>
        </w:tc>
        <w:tc>
          <w:tcPr>
            <w:tcW w:w="1336" w:type="dxa"/>
            <w:vMerge w:val="restart"/>
            <w:vAlign w:val="center"/>
          </w:tcPr>
          <w:p w14:paraId="5D6C554B">
            <w:pPr>
              <w:jc w:val="center"/>
              <w:rPr>
                <w:rFonts w:hint="eastAsia" w:asciiTheme="minorEastAsia" w:hAnsiTheme="minorEastAsia" w:eastAsiaTheme="minorEastAsia"/>
                <w:szCs w:val="21"/>
              </w:rPr>
            </w:pPr>
            <w:r>
              <w:rPr>
                <w:rFonts w:hint="eastAsia" w:asciiTheme="minorEastAsia" w:hAnsiTheme="minorEastAsia" w:eastAsiaTheme="minorEastAsia"/>
                <w:szCs w:val="21"/>
              </w:rPr>
              <w:t>缓存加速</w:t>
            </w:r>
          </w:p>
        </w:tc>
        <w:tc>
          <w:tcPr>
            <w:tcW w:w="5525" w:type="dxa"/>
            <w:vAlign w:val="center"/>
          </w:tcPr>
          <w:p w14:paraId="201110BD">
            <w:pPr>
              <w:rPr>
                <w:rFonts w:hint="eastAsia" w:asciiTheme="minorEastAsia" w:hAnsiTheme="minorEastAsia" w:eastAsiaTheme="minorEastAsia"/>
                <w:szCs w:val="21"/>
              </w:rPr>
            </w:pPr>
            <w:r>
              <w:rPr>
                <w:rFonts w:hint="eastAsia" w:asciiTheme="minorEastAsia" w:hAnsiTheme="minorEastAsia" w:eastAsiaTheme="minorEastAsia"/>
                <w:szCs w:val="21"/>
              </w:rPr>
              <w:t>▲支持提供快写缓存功能，即通过高性能磁盘、如RAM磁盘、NVRAM磁盘或固态磁盘进行写缓存加速。支持在开启快写缓存加速功能后，数据同步优先写入高性能磁盘存储池，从而提升整体容灾设备的IO写入性能及IO并发能力。</w:t>
            </w:r>
          </w:p>
        </w:tc>
      </w:tr>
      <w:tr w14:paraId="2271D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EA04FD5">
            <w:pPr>
              <w:jc w:val="center"/>
              <w:rPr>
                <w:rFonts w:hint="eastAsia" w:asciiTheme="minorEastAsia" w:hAnsiTheme="minorEastAsia" w:eastAsiaTheme="minorEastAsia"/>
                <w:szCs w:val="21"/>
              </w:rPr>
            </w:pPr>
          </w:p>
        </w:tc>
        <w:tc>
          <w:tcPr>
            <w:tcW w:w="1336" w:type="dxa"/>
            <w:vMerge w:val="continue"/>
            <w:vAlign w:val="center"/>
          </w:tcPr>
          <w:p w14:paraId="072350E2">
            <w:pPr>
              <w:jc w:val="center"/>
              <w:rPr>
                <w:rFonts w:hint="eastAsia" w:asciiTheme="minorEastAsia" w:hAnsiTheme="minorEastAsia" w:eastAsiaTheme="minorEastAsia"/>
                <w:szCs w:val="21"/>
              </w:rPr>
            </w:pPr>
          </w:p>
        </w:tc>
        <w:tc>
          <w:tcPr>
            <w:tcW w:w="5525" w:type="dxa"/>
            <w:vAlign w:val="center"/>
          </w:tcPr>
          <w:p w14:paraId="70E2B1E9">
            <w:pPr>
              <w:rPr>
                <w:rFonts w:hint="eastAsia" w:asciiTheme="minorEastAsia" w:hAnsiTheme="minorEastAsia" w:eastAsiaTheme="minorEastAsia"/>
                <w:szCs w:val="21"/>
              </w:rPr>
            </w:pPr>
            <w:r>
              <w:rPr>
                <w:rFonts w:hint="eastAsia" w:asciiTheme="minorEastAsia" w:hAnsiTheme="minorEastAsia" w:eastAsiaTheme="minorEastAsia"/>
                <w:szCs w:val="21"/>
              </w:rPr>
              <w:t>▲支持提供热区缓存功能，即读缓存/预读取功能，可将磁盘上频繁访问的区域重定位至高性能磁盘上，同时支持连续数据读取命令检测，可将访问数据提前移入高性能磁盘或其内存上，从而整体缩短数据读取及响应时间，提升在业务接管或容灾演练效率及性能。</w:t>
            </w:r>
          </w:p>
        </w:tc>
      </w:tr>
      <w:tr w14:paraId="0996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510BECD">
            <w:pPr>
              <w:jc w:val="center"/>
              <w:rPr>
                <w:rFonts w:hint="eastAsia" w:asciiTheme="minorEastAsia" w:hAnsiTheme="minorEastAsia" w:eastAsiaTheme="minorEastAsia"/>
                <w:szCs w:val="21"/>
              </w:rPr>
            </w:pPr>
          </w:p>
        </w:tc>
        <w:tc>
          <w:tcPr>
            <w:tcW w:w="1336" w:type="dxa"/>
            <w:vMerge w:val="restart"/>
            <w:vAlign w:val="center"/>
          </w:tcPr>
          <w:p w14:paraId="4ABC862C">
            <w:pPr>
              <w:jc w:val="center"/>
              <w:rPr>
                <w:rFonts w:hint="eastAsia" w:asciiTheme="minorEastAsia" w:hAnsiTheme="minorEastAsia" w:eastAsiaTheme="minorEastAsia"/>
                <w:szCs w:val="21"/>
              </w:rPr>
            </w:pPr>
            <w:r>
              <w:rPr>
                <w:rFonts w:hint="eastAsia" w:asciiTheme="minorEastAsia" w:hAnsiTheme="minorEastAsia" w:eastAsiaTheme="minorEastAsia"/>
                <w:szCs w:val="21"/>
              </w:rPr>
              <w:t>备份功能</w:t>
            </w:r>
          </w:p>
        </w:tc>
        <w:tc>
          <w:tcPr>
            <w:tcW w:w="5525" w:type="dxa"/>
            <w:vAlign w:val="center"/>
          </w:tcPr>
          <w:p w14:paraId="3D74151C">
            <w:pPr>
              <w:rPr>
                <w:rFonts w:hint="eastAsia" w:asciiTheme="minorEastAsia" w:hAnsiTheme="minorEastAsia" w:eastAsiaTheme="minorEastAsia"/>
                <w:szCs w:val="21"/>
              </w:rPr>
            </w:pPr>
            <w:r>
              <w:rPr>
                <w:rFonts w:hint="eastAsia" w:asciiTheme="minorEastAsia" w:hAnsiTheme="minorEastAsia" w:eastAsiaTheme="minorEastAsia"/>
                <w:szCs w:val="21"/>
              </w:rPr>
              <w:t>支持实时/定时备份功能，可自定义选择整机、磁盘和分区数据保护，不需区分业务系统的类型、部署方法、业务系统间的数据交互机制、数据结构/逻辑关系和数据库的品牌/版本等；也可以按照文件、操作系统、数据库接口、虚拟化无代理、NAS接口的方式进行定时备份。</w:t>
            </w:r>
          </w:p>
        </w:tc>
      </w:tr>
      <w:tr w14:paraId="354F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4BB3141">
            <w:pPr>
              <w:jc w:val="center"/>
              <w:rPr>
                <w:rFonts w:hint="eastAsia" w:asciiTheme="minorEastAsia" w:hAnsiTheme="minorEastAsia" w:eastAsiaTheme="minorEastAsia"/>
                <w:szCs w:val="21"/>
              </w:rPr>
            </w:pPr>
          </w:p>
        </w:tc>
        <w:tc>
          <w:tcPr>
            <w:tcW w:w="1336" w:type="dxa"/>
            <w:vMerge w:val="continue"/>
            <w:vAlign w:val="center"/>
          </w:tcPr>
          <w:p w14:paraId="578ECFA8">
            <w:pPr>
              <w:jc w:val="center"/>
              <w:rPr>
                <w:rFonts w:hint="eastAsia" w:asciiTheme="minorEastAsia" w:hAnsiTheme="minorEastAsia" w:eastAsiaTheme="minorEastAsia"/>
                <w:szCs w:val="21"/>
              </w:rPr>
            </w:pPr>
          </w:p>
        </w:tc>
        <w:tc>
          <w:tcPr>
            <w:tcW w:w="5525" w:type="dxa"/>
            <w:vAlign w:val="center"/>
          </w:tcPr>
          <w:p w14:paraId="1CC143C3">
            <w:pPr>
              <w:rPr>
                <w:rFonts w:hint="eastAsia" w:asciiTheme="minorEastAsia" w:hAnsiTheme="minorEastAsia" w:eastAsiaTheme="minorEastAsia"/>
                <w:szCs w:val="21"/>
              </w:rPr>
            </w:pPr>
            <w:r>
              <w:rPr>
                <w:rFonts w:hint="eastAsia" w:asciiTheme="minorEastAsia" w:hAnsiTheme="minorEastAsia" w:eastAsiaTheme="minorEastAsia"/>
                <w:szCs w:val="21"/>
              </w:rPr>
              <w:t>▲支持自定义代理备份功能，可自适应感知前端应用主机，直接获取包含操作系统、应用、数据库等信息，实现快速数据备份与恢复。（须提供软件系统自定义备份功能截图证明）</w:t>
            </w:r>
          </w:p>
        </w:tc>
      </w:tr>
      <w:tr w14:paraId="0A554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489B44AF">
            <w:pPr>
              <w:jc w:val="center"/>
              <w:rPr>
                <w:rFonts w:hint="eastAsia" w:asciiTheme="minorEastAsia" w:hAnsiTheme="minorEastAsia" w:eastAsiaTheme="minorEastAsia"/>
                <w:szCs w:val="21"/>
              </w:rPr>
            </w:pPr>
          </w:p>
        </w:tc>
        <w:tc>
          <w:tcPr>
            <w:tcW w:w="1336" w:type="dxa"/>
            <w:vMerge w:val="continue"/>
            <w:vAlign w:val="center"/>
          </w:tcPr>
          <w:p w14:paraId="23B5EF87">
            <w:pPr>
              <w:jc w:val="center"/>
              <w:rPr>
                <w:rFonts w:hint="eastAsia" w:asciiTheme="minorEastAsia" w:hAnsiTheme="minorEastAsia" w:eastAsiaTheme="minorEastAsia"/>
                <w:szCs w:val="21"/>
              </w:rPr>
            </w:pPr>
          </w:p>
        </w:tc>
        <w:tc>
          <w:tcPr>
            <w:tcW w:w="5525" w:type="dxa"/>
            <w:vAlign w:val="center"/>
          </w:tcPr>
          <w:p w14:paraId="15B2E6B0">
            <w:pPr>
              <w:rPr>
                <w:rFonts w:hint="eastAsia" w:asciiTheme="minorEastAsia" w:hAnsiTheme="minorEastAsia" w:eastAsiaTheme="minorEastAsia"/>
                <w:szCs w:val="21"/>
              </w:rPr>
            </w:pPr>
            <w:r>
              <w:rPr>
                <w:rFonts w:hint="eastAsia" w:asciiTheme="minorEastAsia" w:hAnsiTheme="minorEastAsia" w:eastAsiaTheme="minorEastAsia"/>
                <w:szCs w:val="21"/>
              </w:rPr>
              <w:t>提供基于磁盘块级别的持续数据保护（CDP）技术，可对业务系统的任意I/O操作精确到秒级进行记录，产生连续的无限数量恢复点，当系统出现故障后可恢复至任意选定时间点。</w:t>
            </w:r>
          </w:p>
        </w:tc>
      </w:tr>
      <w:tr w14:paraId="7EA9D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2517755A">
            <w:pPr>
              <w:jc w:val="center"/>
              <w:rPr>
                <w:rFonts w:hint="eastAsia" w:asciiTheme="minorEastAsia" w:hAnsiTheme="minorEastAsia" w:eastAsiaTheme="minorEastAsia"/>
                <w:szCs w:val="21"/>
              </w:rPr>
            </w:pPr>
          </w:p>
        </w:tc>
        <w:tc>
          <w:tcPr>
            <w:tcW w:w="1336" w:type="dxa"/>
            <w:vMerge w:val="continue"/>
            <w:vAlign w:val="center"/>
          </w:tcPr>
          <w:p w14:paraId="7CF7E131">
            <w:pPr>
              <w:jc w:val="center"/>
              <w:rPr>
                <w:rFonts w:hint="eastAsia" w:asciiTheme="minorEastAsia" w:hAnsiTheme="minorEastAsia" w:eastAsiaTheme="minorEastAsia"/>
                <w:szCs w:val="21"/>
              </w:rPr>
            </w:pPr>
          </w:p>
        </w:tc>
        <w:tc>
          <w:tcPr>
            <w:tcW w:w="5525" w:type="dxa"/>
            <w:vAlign w:val="center"/>
          </w:tcPr>
          <w:p w14:paraId="4C86FFB9">
            <w:pPr>
              <w:rPr>
                <w:rFonts w:hint="eastAsia" w:asciiTheme="minorEastAsia" w:hAnsiTheme="minorEastAsia" w:eastAsiaTheme="minorEastAsia"/>
                <w:szCs w:val="21"/>
              </w:rPr>
            </w:pPr>
            <w:r>
              <w:rPr>
                <w:rFonts w:hint="eastAsia" w:asciiTheme="minorEastAsia" w:hAnsiTheme="minorEastAsia" w:eastAsiaTheme="minorEastAsia"/>
                <w:szCs w:val="21"/>
              </w:rPr>
              <w:t>提供无限制数量的Oracle RAC、MSCS及主流HA集群备份，自动关联集群磁盘，支持集群环境整机CDP实时备份和定时备份。</w:t>
            </w:r>
          </w:p>
        </w:tc>
      </w:tr>
      <w:tr w14:paraId="45C6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73FC015">
            <w:pPr>
              <w:jc w:val="center"/>
              <w:rPr>
                <w:rFonts w:hint="eastAsia" w:asciiTheme="minorEastAsia" w:hAnsiTheme="minorEastAsia" w:eastAsiaTheme="minorEastAsia"/>
                <w:szCs w:val="21"/>
              </w:rPr>
            </w:pPr>
          </w:p>
        </w:tc>
        <w:tc>
          <w:tcPr>
            <w:tcW w:w="1336" w:type="dxa"/>
            <w:vMerge w:val="continue"/>
            <w:vAlign w:val="center"/>
          </w:tcPr>
          <w:p w14:paraId="5592FEAA">
            <w:pPr>
              <w:jc w:val="center"/>
              <w:rPr>
                <w:rFonts w:hint="eastAsia" w:asciiTheme="minorEastAsia" w:hAnsiTheme="minorEastAsia" w:eastAsiaTheme="minorEastAsia"/>
                <w:szCs w:val="21"/>
              </w:rPr>
            </w:pPr>
          </w:p>
        </w:tc>
        <w:tc>
          <w:tcPr>
            <w:tcW w:w="5525" w:type="dxa"/>
            <w:vAlign w:val="center"/>
          </w:tcPr>
          <w:p w14:paraId="0340A032">
            <w:pPr>
              <w:rPr>
                <w:rFonts w:hint="eastAsia" w:asciiTheme="minorEastAsia" w:hAnsiTheme="minorEastAsia" w:eastAsiaTheme="minorEastAsia"/>
                <w:szCs w:val="21"/>
              </w:rPr>
            </w:pPr>
            <w:r>
              <w:rPr>
                <w:rFonts w:hint="eastAsia" w:asciiTheme="minorEastAsia" w:hAnsiTheme="minorEastAsia" w:eastAsiaTheme="minorEastAsia"/>
                <w:szCs w:val="21"/>
              </w:rPr>
              <w:t>支持智能优选策略，业务上线后自动根据业务类型，自动生成推荐策略</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tc>
      </w:tr>
      <w:tr w14:paraId="394D8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5F9C4706">
            <w:pPr>
              <w:jc w:val="center"/>
              <w:rPr>
                <w:rFonts w:hint="eastAsia" w:asciiTheme="minorEastAsia" w:hAnsiTheme="minorEastAsia" w:eastAsiaTheme="minorEastAsia"/>
                <w:szCs w:val="21"/>
              </w:rPr>
            </w:pPr>
          </w:p>
        </w:tc>
        <w:tc>
          <w:tcPr>
            <w:tcW w:w="1336" w:type="dxa"/>
            <w:vMerge w:val="continue"/>
            <w:vAlign w:val="center"/>
          </w:tcPr>
          <w:p w14:paraId="2AF85A5E">
            <w:pPr>
              <w:jc w:val="center"/>
              <w:rPr>
                <w:rFonts w:hint="eastAsia" w:asciiTheme="minorEastAsia" w:hAnsiTheme="minorEastAsia" w:eastAsiaTheme="minorEastAsia"/>
                <w:szCs w:val="21"/>
              </w:rPr>
            </w:pPr>
          </w:p>
        </w:tc>
        <w:tc>
          <w:tcPr>
            <w:tcW w:w="5525" w:type="dxa"/>
            <w:vAlign w:val="center"/>
          </w:tcPr>
          <w:p w14:paraId="14AFA164">
            <w:pPr>
              <w:rPr>
                <w:rFonts w:hint="eastAsia" w:asciiTheme="minorEastAsia" w:hAnsiTheme="minorEastAsia" w:eastAsiaTheme="minorEastAsia"/>
                <w:szCs w:val="21"/>
              </w:rPr>
            </w:pPr>
            <w:r>
              <w:rPr>
                <w:rFonts w:hint="eastAsia" w:asciiTheme="minorEastAsia" w:hAnsiTheme="minorEastAsia" w:eastAsiaTheme="minorEastAsia"/>
                <w:szCs w:val="21"/>
              </w:rPr>
              <w:t>备份任务因不可控因素中断后，需支持断点续传，且无需重新校验之前数据。</w:t>
            </w:r>
          </w:p>
        </w:tc>
      </w:tr>
      <w:tr w14:paraId="7B8A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9CF9541">
            <w:pPr>
              <w:jc w:val="center"/>
              <w:rPr>
                <w:rFonts w:hint="eastAsia" w:asciiTheme="minorEastAsia" w:hAnsiTheme="minorEastAsia" w:eastAsiaTheme="minorEastAsia"/>
                <w:szCs w:val="21"/>
              </w:rPr>
            </w:pPr>
          </w:p>
        </w:tc>
        <w:tc>
          <w:tcPr>
            <w:tcW w:w="1336" w:type="dxa"/>
            <w:vMerge w:val="restart"/>
            <w:vAlign w:val="center"/>
          </w:tcPr>
          <w:p w14:paraId="63CA3E8D">
            <w:pPr>
              <w:jc w:val="center"/>
              <w:rPr>
                <w:rFonts w:hint="eastAsia" w:asciiTheme="minorEastAsia" w:hAnsiTheme="minorEastAsia" w:eastAsiaTheme="minorEastAsia"/>
                <w:szCs w:val="21"/>
              </w:rPr>
            </w:pPr>
            <w:r>
              <w:rPr>
                <w:rFonts w:hint="eastAsia" w:asciiTheme="minorEastAsia" w:hAnsiTheme="minorEastAsia" w:eastAsiaTheme="minorEastAsia"/>
                <w:szCs w:val="21"/>
              </w:rPr>
              <w:t>数据管理</w:t>
            </w:r>
          </w:p>
        </w:tc>
        <w:tc>
          <w:tcPr>
            <w:tcW w:w="5525" w:type="dxa"/>
            <w:vAlign w:val="center"/>
          </w:tcPr>
          <w:p w14:paraId="60CE943E">
            <w:pPr>
              <w:rPr>
                <w:rFonts w:hint="eastAsia" w:asciiTheme="minorEastAsia" w:hAnsiTheme="minorEastAsia" w:eastAsiaTheme="minorEastAsia"/>
                <w:szCs w:val="21"/>
              </w:rPr>
            </w:pPr>
            <w:r>
              <w:rPr>
                <w:rFonts w:hint="eastAsia" w:asciiTheme="minorEastAsia" w:hAnsiTheme="minorEastAsia" w:eastAsiaTheme="minorEastAsia"/>
                <w:szCs w:val="21"/>
              </w:rPr>
              <w:t>使用选定的备份点还原到指定的主机，在不影响原业务系统情况下，可长时间进行业务数据验证。</w:t>
            </w:r>
          </w:p>
        </w:tc>
      </w:tr>
      <w:tr w14:paraId="3A697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51435790">
            <w:pPr>
              <w:jc w:val="center"/>
              <w:rPr>
                <w:rFonts w:hint="eastAsia" w:asciiTheme="minorEastAsia" w:hAnsiTheme="minorEastAsia" w:eastAsiaTheme="minorEastAsia"/>
                <w:szCs w:val="21"/>
              </w:rPr>
            </w:pPr>
          </w:p>
        </w:tc>
        <w:tc>
          <w:tcPr>
            <w:tcW w:w="1336" w:type="dxa"/>
            <w:vMerge w:val="continue"/>
            <w:vAlign w:val="center"/>
          </w:tcPr>
          <w:p w14:paraId="0F61272D">
            <w:pPr>
              <w:jc w:val="center"/>
              <w:rPr>
                <w:rFonts w:hint="eastAsia" w:asciiTheme="minorEastAsia" w:hAnsiTheme="minorEastAsia" w:eastAsiaTheme="minorEastAsia"/>
                <w:szCs w:val="21"/>
              </w:rPr>
            </w:pPr>
          </w:p>
        </w:tc>
        <w:tc>
          <w:tcPr>
            <w:tcW w:w="5525" w:type="dxa"/>
            <w:vAlign w:val="center"/>
          </w:tcPr>
          <w:p w14:paraId="1D28A824">
            <w:pPr>
              <w:rPr>
                <w:rFonts w:hint="eastAsia" w:asciiTheme="minorEastAsia" w:hAnsiTheme="minorEastAsia" w:eastAsiaTheme="minorEastAsia"/>
                <w:szCs w:val="21"/>
              </w:rPr>
            </w:pPr>
            <w:r>
              <w:rPr>
                <w:rFonts w:hint="eastAsia" w:asciiTheme="minorEastAsia" w:hAnsiTheme="minorEastAsia" w:eastAsiaTheme="minorEastAsia"/>
                <w:szCs w:val="21"/>
              </w:rPr>
              <w:t>▲容灾数据安全态势感知，自动分析容灾数据的可用性、可靠性、可恢复性，并实时生成数据安全曲线。（须提供备份数据安全范围选择功能截图）</w:t>
            </w:r>
          </w:p>
        </w:tc>
      </w:tr>
      <w:tr w14:paraId="54975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046707CA">
            <w:pPr>
              <w:jc w:val="center"/>
              <w:rPr>
                <w:rFonts w:hint="eastAsia" w:asciiTheme="minorEastAsia" w:hAnsiTheme="minorEastAsia" w:eastAsiaTheme="minorEastAsia"/>
                <w:szCs w:val="21"/>
              </w:rPr>
            </w:pPr>
          </w:p>
        </w:tc>
        <w:tc>
          <w:tcPr>
            <w:tcW w:w="1336" w:type="dxa"/>
            <w:vMerge w:val="continue"/>
            <w:vAlign w:val="center"/>
          </w:tcPr>
          <w:p w14:paraId="585BB13C">
            <w:pPr>
              <w:jc w:val="center"/>
              <w:rPr>
                <w:rFonts w:hint="eastAsia" w:asciiTheme="minorEastAsia" w:hAnsiTheme="minorEastAsia" w:eastAsiaTheme="minorEastAsia"/>
                <w:szCs w:val="21"/>
              </w:rPr>
            </w:pPr>
          </w:p>
        </w:tc>
        <w:tc>
          <w:tcPr>
            <w:tcW w:w="5525" w:type="dxa"/>
            <w:vAlign w:val="center"/>
          </w:tcPr>
          <w:p w14:paraId="50AB3844">
            <w:pPr>
              <w:rPr>
                <w:rFonts w:hint="eastAsia" w:asciiTheme="minorEastAsia" w:hAnsiTheme="minorEastAsia" w:eastAsiaTheme="minorEastAsia"/>
                <w:szCs w:val="21"/>
              </w:rPr>
            </w:pPr>
            <w:r>
              <w:rPr>
                <w:rFonts w:hint="eastAsia" w:asciiTheme="minorEastAsia" w:hAnsiTheme="minorEastAsia" w:eastAsiaTheme="minorEastAsia"/>
                <w:szCs w:val="21"/>
              </w:rPr>
              <w:t>AI数据自动校验功能，智能匹配生成自动检验计划，可按照周、天、时间点等多种校验计划，进行数据校验。</w:t>
            </w:r>
          </w:p>
        </w:tc>
      </w:tr>
      <w:tr w14:paraId="56BC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60E7E9A">
            <w:pPr>
              <w:jc w:val="center"/>
              <w:rPr>
                <w:rFonts w:hint="eastAsia" w:asciiTheme="minorEastAsia" w:hAnsiTheme="minorEastAsia" w:eastAsiaTheme="minorEastAsia"/>
                <w:szCs w:val="21"/>
              </w:rPr>
            </w:pPr>
          </w:p>
        </w:tc>
        <w:tc>
          <w:tcPr>
            <w:tcW w:w="1336" w:type="dxa"/>
            <w:vMerge w:val="restart"/>
            <w:vAlign w:val="center"/>
          </w:tcPr>
          <w:p w14:paraId="33319712">
            <w:pPr>
              <w:jc w:val="center"/>
              <w:rPr>
                <w:rFonts w:hint="eastAsia" w:asciiTheme="minorEastAsia" w:hAnsiTheme="minorEastAsia" w:eastAsiaTheme="minorEastAsia"/>
                <w:szCs w:val="21"/>
              </w:rPr>
            </w:pPr>
            <w:r>
              <w:rPr>
                <w:rFonts w:hint="eastAsia" w:asciiTheme="minorEastAsia" w:hAnsiTheme="minorEastAsia" w:eastAsiaTheme="minorEastAsia"/>
                <w:szCs w:val="21"/>
              </w:rPr>
              <w:t>数据副本管理</w:t>
            </w:r>
          </w:p>
        </w:tc>
        <w:tc>
          <w:tcPr>
            <w:tcW w:w="5525" w:type="dxa"/>
            <w:vAlign w:val="center"/>
          </w:tcPr>
          <w:p w14:paraId="107D4FDB">
            <w:pPr>
              <w:rPr>
                <w:rFonts w:hint="eastAsia" w:asciiTheme="minorEastAsia" w:hAnsiTheme="minorEastAsia" w:eastAsiaTheme="minorEastAsia"/>
                <w:szCs w:val="21"/>
              </w:rPr>
            </w:pPr>
            <w:r>
              <w:rPr>
                <w:rFonts w:hint="eastAsia" w:asciiTheme="minorEastAsia" w:hAnsiTheme="minorEastAsia" w:eastAsiaTheme="minorEastAsia"/>
                <w:szCs w:val="21"/>
              </w:rPr>
              <w:t>系统软件提供业务仿真功能，提供一键仿真多个时间点副本，无需接手动预搭建、配置任何与生产设备相关的模块和配置，快速创建，快速删除，仿真演练过程对保护作业和生产业务无任何影响。</w:t>
            </w:r>
          </w:p>
        </w:tc>
      </w:tr>
      <w:tr w14:paraId="5A191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E7BF235">
            <w:pPr>
              <w:jc w:val="center"/>
              <w:rPr>
                <w:rFonts w:hint="eastAsia" w:asciiTheme="minorEastAsia" w:hAnsiTheme="minorEastAsia" w:eastAsiaTheme="minorEastAsia"/>
                <w:szCs w:val="21"/>
              </w:rPr>
            </w:pPr>
          </w:p>
        </w:tc>
        <w:tc>
          <w:tcPr>
            <w:tcW w:w="1336" w:type="dxa"/>
            <w:vMerge w:val="continue"/>
            <w:vAlign w:val="center"/>
          </w:tcPr>
          <w:p w14:paraId="2407C37B">
            <w:pPr>
              <w:jc w:val="center"/>
              <w:rPr>
                <w:rFonts w:hint="eastAsia" w:asciiTheme="minorEastAsia" w:hAnsiTheme="minorEastAsia" w:eastAsiaTheme="minorEastAsia"/>
                <w:szCs w:val="21"/>
              </w:rPr>
            </w:pPr>
          </w:p>
        </w:tc>
        <w:tc>
          <w:tcPr>
            <w:tcW w:w="5525" w:type="dxa"/>
            <w:vAlign w:val="center"/>
          </w:tcPr>
          <w:p w14:paraId="58E312A2">
            <w:pPr>
              <w:rPr>
                <w:rFonts w:hint="eastAsia" w:asciiTheme="minorEastAsia" w:hAnsiTheme="minorEastAsia" w:eastAsiaTheme="minorEastAsia"/>
                <w:szCs w:val="21"/>
              </w:rPr>
            </w:pPr>
            <w:r>
              <w:rPr>
                <w:rFonts w:hint="eastAsia" w:asciiTheme="minorEastAsia" w:hAnsiTheme="minorEastAsia" w:eastAsiaTheme="minorEastAsia"/>
                <w:szCs w:val="21"/>
              </w:rPr>
              <w:t>▲提供页面文件浏览整机备份数据功能，且可按需求下载需要恢复的文件，实现精准恢复（须提供文件浏览下载功能截图）</w:t>
            </w:r>
          </w:p>
        </w:tc>
      </w:tr>
      <w:tr w14:paraId="3FC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21256E27">
            <w:pPr>
              <w:jc w:val="center"/>
              <w:rPr>
                <w:rFonts w:hint="eastAsia" w:asciiTheme="minorEastAsia" w:hAnsiTheme="minorEastAsia" w:eastAsiaTheme="minorEastAsia"/>
                <w:szCs w:val="21"/>
              </w:rPr>
            </w:pPr>
          </w:p>
        </w:tc>
        <w:tc>
          <w:tcPr>
            <w:tcW w:w="1336" w:type="dxa"/>
            <w:vAlign w:val="center"/>
          </w:tcPr>
          <w:p w14:paraId="0EF30F40">
            <w:pPr>
              <w:jc w:val="center"/>
              <w:rPr>
                <w:rFonts w:hint="eastAsia" w:asciiTheme="minorEastAsia" w:hAnsiTheme="minorEastAsia" w:eastAsiaTheme="minorEastAsia"/>
                <w:szCs w:val="21"/>
              </w:rPr>
            </w:pPr>
            <w:r>
              <w:rPr>
                <w:rFonts w:hint="eastAsia" w:asciiTheme="minorEastAsia" w:hAnsiTheme="minorEastAsia" w:eastAsiaTheme="minorEastAsia"/>
                <w:szCs w:val="21"/>
              </w:rPr>
              <w:t>数据恢复</w:t>
            </w:r>
          </w:p>
        </w:tc>
        <w:tc>
          <w:tcPr>
            <w:tcW w:w="5525" w:type="dxa"/>
            <w:vAlign w:val="center"/>
          </w:tcPr>
          <w:p w14:paraId="1D9CD0D6">
            <w:pPr>
              <w:rPr>
                <w:rFonts w:hint="eastAsia" w:asciiTheme="minorEastAsia" w:hAnsiTheme="minorEastAsia" w:eastAsiaTheme="minorEastAsia"/>
                <w:szCs w:val="21"/>
              </w:rPr>
            </w:pPr>
            <w:r>
              <w:rPr>
                <w:rFonts w:hint="eastAsia" w:asciiTheme="minorEastAsia" w:hAnsiTheme="minorEastAsia" w:eastAsiaTheme="minorEastAsia"/>
                <w:szCs w:val="21"/>
              </w:rPr>
              <w:t>▲容灾系统数据颗粒度提供接管恢复、备份恢复、实时恢复据等多种类型的数据恢复方式，以满足用户不同场景下的恢复需求。（须提供备份恢复/接管恢复/实时恢复的功能截图）</w:t>
            </w:r>
          </w:p>
        </w:tc>
      </w:tr>
      <w:tr w14:paraId="7C2C5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2F92B141">
            <w:pPr>
              <w:jc w:val="center"/>
              <w:rPr>
                <w:rFonts w:hint="eastAsia" w:asciiTheme="minorEastAsia" w:hAnsiTheme="minorEastAsia" w:eastAsiaTheme="minorEastAsia"/>
                <w:szCs w:val="21"/>
              </w:rPr>
            </w:pPr>
          </w:p>
        </w:tc>
        <w:tc>
          <w:tcPr>
            <w:tcW w:w="1336" w:type="dxa"/>
            <w:vMerge w:val="restart"/>
            <w:vAlign w:val="center"/>
          </w:tcPr>
          <w:p w14:paraId="7C1790A4">
            <w:pPr>
              <w:jc w:val="center"/>
              <w:rPr>
                <w:rFonts w:hint="eastAsia" w:asciiTheme="minorEastAsia" w:hAnsiTheme="minorEastAsia" w:eastAsiaTheme="minorEastAsia"/>
                <w:szCs w:val="21"/>
              </w:rPr>
            </w:pPr>
            <w:r>
              <w:rPr>
                <w:rFonts w:hint="eastAsia" w:asciiTheme="minorEastAsia" w:hAnsiTheme="minorEastAsia" w:eastAsiaTheme="minorEastAsia"/>
                <w:szCs w:val="21"/>
              </w:rPr>
              <w:t>容灾接管</w:t>
            </w:r>
          </w:p>
        </w:tc>
        <w:tc>
          <w:tcPr>
            <w:tcW w:w="5525" w:type="dxa"/>
            <w:vAlign w:val="center"/>
          </w:tcPr>
          <w:p w14:paraId="2F14D758">
            <w:pPr>
              <w:rPr>
                <w:rFonts w:hint="eastAsia" w:asciiTheme="minorEastAsia" w:hAnsiTheme="minorEastAsia" w:eastAsiaTheme="minorEastAsia"/>
                <w:szCs w:val="21"/>
              </w:rPr>
            </w:pPr>
            <w:r>
              <w:rPr>
                <w:rFonts w:hint="eastAsia" w:asciiTheme="minorEastAsia" w:hAnsiTheme="minorEastAsia" w:eastAsiaTheme="minorEastAsia"/>
                <w:szCs w:val="21"/>
              </w:rPr>
              <w:t>无需额外服务器、无需部署虚拟化系统、无需停止对原机的数据备份，即可配置多个应急接管业务虚拟机同时接管多个业务系统，全Web操作完成虚拟机创建、接管备份点的选取、IP和路由配置、虚拟机开机等接管业务的全流程；</w:t>
            </w:r>
            <w:r>
              <w:rPr>
                <w:rFonts w:asciiTheme="minorEastAsia" w:hAnsiTheme="minorEastAsia" w:eastAsiaTheme="minorEastAsia"/>
                <w:szCs w:val="21"/>
              </w:rPr>
              <w:t xml:space="preserve"> </w:t>
            </w:r>
          </w:p>
        </w:tc>
      </w:tr>
      <w:tr w14:paraId="4A41F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01F32F30">
            <w:pPr>
              <w:jc w:val="center"/>
              <w:rPr>
                <w:rFonts w:hint="eastAsia" w:asciiTheme="minorEastAsia" w:hAnsiTheme="minorEastAsia" w:eastAsiaTheme="minorEastAsia"/>
                <w:szCs w:val="21"/>
              </w:rPr>
            </w:pPr>
          </w:p>
        </w:tc>
        <w:tc>
          <w:tcPr>
            <w:tcW w:w="1336" w:type="dxa"/>
            <w:vMerge w:val="continue"/>
            <w:vAlign w:val="center"/>
          </w:tcPr>
          <w:p w14:paraId="76C06B27">
            <w:pPr>
              <w:jc w:val="center"/>
              <w:rPr>
                <w:rFonts w:hint="eastAsia" w:asciiTheme="minorEastAsia" w:hAnsiTheme="minorEastAsia" w:eastAsiaTheme="minorEastAsia"/>
                <w:szCs w:val="21"/>
              </w:rPr>
            </w:pPr>
          </w:p>
        </w:tc>
        <w:tc>
          <w:tcPr>
            <w:tcW w:w="5525" w:type="dxa"/>
            <w:vAlign w:val="center"/>
          </w:tcPr>
          <w:p w14:paraId="4EDBA17E">
            <w:pPr>
              <w:rPr>
                <w:rFonts w:hint="eastAsia" w:asciiTheme="minorEastAsia" w:hAnsiTheme="minorEastAsia" w:eastAsiaTheme="minorEastAsia"/>
                <w:szCs w:val="21"/>
              </w:rPr>
            </w:pPr>
            <w:r>
              <w:rPr>
                <w:rFonts w:hint="eastAsia" w:asciiTheme="minorEastAsia" w:hAnsiTheme="minorEastAsia" w:eastAsiaTheme="minorEastAsia"/>
                <w:szCs w:val="21"/>
              </w:rPr>
              <w:t>▲系统平台提供逻辑隔离网络环境，可根据实际网络情况，自定义配置接管网络、验证网络用于容灾演练、应急接管、数据验证等场景。（须提供系统软件独有隔离网络功能截图）</w:t>
            </w:r>
          </w:p>
        </w:tc>
      </w:tr>
      <w:tr w14:paraId="1857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08887650">
            <w:pPr>
              <w:jc w:val="center"/>
              <w:rPr>
                <w:rFonts w:hint="eastAsia" w:asciiTheme="minorEastAsia" w:hAnsiTheme="minorEastAsia" w:eastAsiaTheme="minorEastAsia"/>
                <w:szCs w:val="21"/>
              </w:rPr>
            </w:pPr>
          </w:p>
        </w:tc>
        <w:tc>
          <w:tcPr>
            <w:tcW w:w="1336" w:type="dxa"/>
            <w:vMerge w:val="continue"/>
            <w:vAlign w:val="center"/>
          </w:tcPr>
          <w:p w14:paraId="4C0865EE">
            <w:pPr>
              <w:jc w:val="center"/>
              <w:rPr>
                <w:rFonts w:hint="eastAsia" w:asciiTheme="minorEastAsia" w:hAnsiTheme="minorEastAsia" w:eastAsiaTheme="minorEastAsia"/>
                <w:szCs w:val="21"/>
              </w:rPr>
            </w:pPr>
          </w:p>
        </w:tc>
        <w:tc>
          <w:tcPr>
            <w:tcW w:w="5525" w:type="dxa"/>
            <w:vAlign w:val="center"/>
          </w:tcPr>
          <w:p w14:paraId="793B2A35">
            <w:pPr>
              <w:rPr>
                <w:rFonts w:hint="eastAsia" w:asciiTheme="minorEastAsia" w:hAnsiTheme="minorEastAsia" w:eastAsiaTheme="minorEastAsia"/>
                <w:szCs w:val="21"/>
              </w:rPr>
            </w:pPr>
            <w:r>
              <w:rPr>
                <w:rFonts w:hint="eastAsia" w:asciiTheme="minorEastAsia" w:hAnsiTheme="minorEastAsia" w:eastAsiaTheme="minorEastAsia"/>
                <w:szCs w:val="21"/>
              </w:rPr>
              <w:t>支持一键恢复关联确认，原生产机与恢复目标机快速关联确认，包含磁盘序号、磁盘分区、磁盘大小等信息，确保恢复目标端与生产端磁盘结构一致。</w:t>
            </w:r>
          </w:p>
        </w:tc>
      </w:tr>
      <w:tr w14:paraId="0DA51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C283707">
            <w:pPr>
              <w:jc w:val="center"/>
              <w:rPr>
                <w:rFonts w:hint="eastAsia" w:asciiTheme="minorEastAsia" w:hAnsiTheme="minorEastAsia" w:eastAsiaTheme="minorEastAsia"/>
                <w:szCs w:val="21"/>
              </w:rPr>
            </w:pPr>
          </w:p>
        </w:tc>
        <w:tc>
          <w:tcPr>
            <w:tcW w:w="1336" w:type="dxa"/>
            <w:vAlign w:val="center"/>
          </w:tcPr>
          <w:p w14:paraId="3870B102">
            <w:pPr>
              <w:jc w:val="center"/>
              <w:rPr>
                <w:rFonts w:hint="eastAsia" w:asciiTheme="minorEastAsia" w:hAnsiTheme="minorEastAsia" w:eastAsiaTheme="minorEastAsia"/>
                <w:szCs w:val="21"/>
              </w:rPr>
            </w:pPr>
            <w:r>
              <w:rPr>
                <w:rFonts w:hint="eastAsia" w:asciiTheme="minorEastAsia" w:hAnsiTheme="minorEastAsia" w:eastAsiaTheme="minorEastAsia"/>
                <w:szCs w:val="21"/>
              </w:rPr>
              <w:t>业务高可用</w:t>
            </w:r>
          </w:p>
        </w:tc>
        <w:tc>
          <w:tcPr>
            <w:tcW w:w="5525" w:type="dxa"/>
            <w:vAlign w:val="center"/>
          </w:tcPr>
          <w:p w14:paraId="56436999">
            <w:pPr>
              <w:rPr>
                <w:rFonts w:hint="eastAsia" w:asciiTheme="minorEastAsia" w:hAnsiTheme="minorEastAsia" w:eastAsiaTheme="minorEastAsia"/>
                <w:szCs w:val="21"/>
              </w:rPr>
            </w:pPr>
            <w:r>
              <w:rPr>
                <w:rFonts w:hint="eastAsia" w:asciiTheme="minorEastAsia" w:hAnsiTheme="minorEastAsia" w:eastAsiaTheme="minorEastAsia"/>
                <w:szCs w:val="21"/>
              </w:rPr>
              <w:t>▲支持灾备切换编排功能，实现多业务和多应用的灾备切换或演练编排，根据实际业务需求定制容灾自动编排故障切换策略。在满足指定的条件后，自动接管源生产系统的所有应用，代替故障主机对外提供服务。也可以根据实际需求，选择手动切换操作，防止因误操作导致故障切换带来的二次故障；(须提供系统软件详细的主备切换过程的截图)</w:t>
            </w:r>
          </w:p>
        </w:tc>
      </w:tr>
      <w:tr w14:paraId="37D3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EEE767E">
            <w:pPr>
              <w:jc w:val="center"/>
              <w:rPr>
                <w:rFonts w:hint="eastAsia" w:asciiTheme="minorEastAsia" w:hAnsiTheme="minorEastAsia" w:eastAsiaTheme="minorEastAsia"/>
                <w:szCs w:val="21"/>
              </w:rPr>
            </w:pPr>
          </w:p>
        </w:tc>
        <w:tc>
          <w:tcPr>
            <w:tcW w:w="1336" w:type="dxa"/>
            <w:vMerge w:val="restart"/>
            <w:vAlign w:val="center"/>
          </w:tcPr>
          <w:p w14:paraId="35A7304B">
            <w:pPr>
              <w:jc w:val="center"/>
              <w:rPr>
                <w:rFonts w:hint="eastAsia" w:asciiTheme="minorEastAsia" w:hAnsiTheme="minorEastAsia" w:eastAsiaTheme="minorEastAsia"/>
                <w:szCs w:val="21"/>
              </w:rPr>
            </w:pPr>
            <w:r>
              <w:rPr>
                <w:rFonts w:hint="eastAsia" w:asciiTheme="minorEastAsia" w:hAnsiTheme="minorEastAsia" w:eastAsiaTheme="minorEastAsia"/>
                <w:szCs w:val="21"/>
              </w:rPr>
              <w:t>管理功能</w:t>
            </w:r>
          </w:p>
        </w:tc>
        <w:tc>
          <w:tcPr>
            <w:tcW w:w="5525" w:type="dxa"/>
            <w:vAlign w:val="center"/>
          </w:tcPr>
          <w:p w14:paraId="69F46F41">
            <w:pPr>
              <w:rPr>
                <w:rFonts w:hint="eastAsia" w:asciiTheme="minorEastAsia" w:hAnsiTheme="minorEastAsia" w:eastAsiaTheme="minorEastAsia"/>
                <w:szCs w:val="21"/>
              </w:rPr>
            </w:pPr>
            <w:r>
              <w:rPr>
                <w:rFonts w:hint="eastAsia" w:asciiTheme="minorEastAsia" w:hAnsiTheme="minorEastAsia" w:eastAsiaTheme="minorEastAsia"/>
                <w:szCs w:val="21"/>
              </w:rPr>
              <w:t>要求国产自主研发软件，支持http和https访问登录，无需安装辅助程序，可远程安全访问管理平台。</w:t>
            </w:r>
          </w:p>
        </w:tc>
      </w:tr>
      <w:tr w14:paraId="4011B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6066387F">
            <w:pPr>
              <w:jc w:val="center"/>
              <w:rPr>
                <w:rFonts w:hint="eastAsia" w:asciiTheme="minorEastAsia" w:hAnsiTheme="minorEastAsia" w:eastAsiaTheme="minorEastAsia"/>
                <w:szCs w:val="21"/>
              </w:rPr>
            </w:pPr>
          </w:p>
        </w:tc>
        <w:tc>
          <w:tcPr>
            <w:tcW w:w="1336" w:type="dxa"/>
            <w:vMerge w:val="continue"/>
            <w:vAlign w:val="center"/>
          </w:tcPr>
          <w:p w14:paraId="4544EA51">
            <w:pPr>
              <w:jc w:val="center"/>
              <w:rPr>
                <w:rFonts w:hint="eastAsia" w:asciiTheme="minorEastAsia" w:hAnsiTheme="minorEastAsia" w:eastAsiaTheme="minorEastAsia"/>
                <w:szCs w:val="21"/>
              </w:rPr>
            </w:pPr>
          </w:p>
        </w:tc>
        <w:tc>
          <w:tcPr>
            <w:tcW w:w="5525" w:type="dxa"/>
            <w:vAlign w:val="center"/>
          </w:tcPr>
          <w:p w14:paraId="7FDE101F">
            <w:pPr>
              <w:rPr>
                <w:rFonts w:hint="eastAsia" w:asciiTheme="minorEastAsia" w:hAnsiTheme="minorEastAsia" w:eastAsiaTheme="minorEastAsia"/>
                <w:szCs w:val="21"/>
              </w:rPr>
            </w:pPr>
            <w:r>
              <w:rPr>
                <w:rFonts w:hint="eastAsia" w:asciiTheme="minorEastAsia" w:hAnsiTheme="minorEastAsia" w:eastAsiaTheme="minorEastAsia"/>
                <w:szCs w:val="21"/>
              </w:rPr>
              <w:t>支持消息通知事件范围设置，通知事件范围包括但不限于备份数据模块、本地容灾模块、容灾资源模块。</w:t>
            </w:r>
          </w:p>
        </w:tc>
      </w:tr>
      <w:tr w14:paraId="0ADA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26056119">
            <w:pPr>
              <w:jc w:val="center"/>
              <w:rPr>
                <w:rFonts w:hint="eastAsia" w:asciiTheme="minorEastAsia" w:hAnsiTheme="minorEastAsia" w:eastAsiaTheme="minorEastAsia"/>
                <w:szCs w:val="21"/>
              </w:rPr>
            </w:pPr>
          </w:p>
        </w:tc>
        <w:tc>
          <w:tcPr>
            <w:tcW w:w="1336" w:type="dxa"/>
            <w:vMerge w:val="continue"/>
            <w:vAlign w:val="center"/>
          </w:tcPr>
          <w:p w14:paraId="0269C522">
            <w:pPr>
              <w:jc w:val="center"/>
              <w:rPr>
                <w:rFonts w:hint="eastAsia" w:asciiTheme="minorEastAsia" w:hAnsiTheme="minorEastAsia" w:eastAsiaTheme="minorEastAsia"/>
                <w:szCs w:val="21"/>
              </w:rPr>
            </w:pPr>
          </w:p>
        </w:tc>
        <w:tc>
          <w:tcPr>
            <w:tcW w:w="5525" w:type="dxa"/>
            <w:vAlign w:val="center"/>
          </w:tcPr>
          <w:p w14:paraId="2EBC551C">
            <w:pPr>
              <w:rPr>
                <w:rFonts w:hint="eastAsia" w:asciiTheme="minorEastAsia" w:hAnsiTheme="minorEastAsia" w:eastAsiaTheme="minorEastAsia"/>
                <w:szCs w:val="21"/>
              </w:rPr>
            </w:pPr>
            <w:r>
              <w:rPr>
                <w:rFonts w:hint="eastAsia" w:asciiTheme="minorEastAsia" w:hAnsiTheme="minorEastAsia" w:eastAsiaTheme="minorEastAsia"/>
                <w:szCs w:val="21"/>
              </w:rPr>
              <w:t>具备自定义通道沉默时间设置，避免在通知时间内，产生重复的通知内容，此资源进入沉默，不再触发通知。</w:t>
            </w:r>
          </w:p>
        </w:tc>
      </w:tr>
      <w:tr w14:paraId="3F3E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797FC2D">
            <w:pPr>
              <w:jc w:val="center"/>
              <w:rPr>
                <w:rFonts w:hint="eastAsia" w:asciiTheme="minorEastAsia" w:hAnsiTheme="minorEastAsia" w:eastAsiaTheme="minorEastAsia"/>
                <w:szCs w:val="21"/>
              </w:rPr>
            </w:pPr>
          </w:p>
        </w:tc>
        <w:tc>
          <w:tcPr>
            <w:tcW w:w="1336" w:type="dxa"/>
            <w:vMerge w:val="continue"/>
            <w:vAlign w:val="center"/>
          </w:tcPr>
          <w:p w14:paraId="40312DE6">
            <w:pPr>
              <w:jc w:val="center"/>
              <w:rPr>
                <w:rFonts w:hint="eastAsia" w:asciiTheme="minorEastAsia" w:hAnsiTheme="minorEastAsia" w:eastAsiaTheme="minorEastAsia"/>
                <w:szCs w:val="21"/>
              </w:rPr>
            </w:pPr>
          </w:p>
        </w:tc>
        <w:tc>
          <w:tcPr>
            <w:tcW w:w="5525" w:type="dxa"/>
            <w:vAlign w:val="center"/>
          </w:tcPr>
          <w:p w14:paraId="39BAA05B">
            <w:pPr>
              <w:rPr>
                <w:rFonts w:hint="eastAsia" w:asciiTheme="minorEastAsia" w:hAnsiTheme="minorEastAsia" w:eastAsiaTheme="minorEastAsia"/>
                <w:szCs w:val="21"/>
              </w:rPr>
            </w:pPr>
            <w:r>
              <w:rPr>
                <w:rFonts w:hint="eastAsia" w:asciiTheme="minorEastAsia" w:hAnsiTheme="minorEastAsia" w:eastAsiaTheme="minorEastAsia"/>
                <w:szCs w:val="21"/>
              </w:rPr>
              <w:t>▲支持备份设备离线模式，根据制定的备份策略，备份开始时备份设备上线，备份任务完成后备份设备离线，网络不可见，提高备份系统的安全性；支持自动跟踪备份策略模式及根据时间自定义设置（提供离线模式配置截图）；</w:t>
            </w:r>
          </w:p>
        </w:tc>
      </w:tr>
      <w:tr w14:paraId="15AC0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17C746C3">
            <w:pPr>
              <w:jc w:val="center"/>
              <w:rPr>
                <w:rFonts w:hint="eastAsia" w:asciiTheme="minorEastAsia" w:hAnsiTheme="minorEastAsia" w:eastAsiaTheme="minorEastAsia"/>
                <w:szCs w:val="21"/>
              </w:rPr>
            </w:pPr>
          </w:p>
        </w:tc>
        <w:tc>
          <w:tcPr>
            <w:tcW w:w="1336" w:type="dxa"/>
            <w:vMerge w:val="continue"/>
            <w:vAlign w:val="center"/>
          </w:tcPr>
          <w:p w14:paraId="3DAEA29E">
            <w:pPr>
              <w:jc w:val="center"/>
              <w:rPr>
                <w:rFonts w:hint="eastAsia" w:asciiTheme="minorEastAsia" w:hAnsiTheme="minorEastAsia" w:eastAsiaTheme="minorEastAsia"/>
                <w:szCs w:val="21"/>
              </w:rPr>
            </w:pPr>
          </w:p>
        </w:tc>
        <w:tc>
          <w:tcPr>
            <w:tcW w:w="5525" w:type="dxa"/>
            <w:vAlign w:val="center"/>
          </w:tcPr>
          <w:p w14:paraId="6FA15E3D">
            <w:pPr>
              <w:rPr>
                <w:rFonts w:hint="eastAsia" w:asciiTheme="minorEastAsia" w:hAnsiTheme="minorEastAsia" w:eastAsiaTheme="minorEastAsia"/>
                <w:szCs w:val="21"/>
              </w:rPr>
            </w:pPr>
            <w:r>
              <w:rPr>
                <w:rFonts w:hint="eastAsia" w:asciiTheme="minorEastAsia" w:hAnsiTheme="minorEastAsia" w:eastAsiaTheme="minorEastAsia"/>
                <w:szCs w:val="21"/>
              </w:rPr>
              <w:t>支持客户端在线管理，可在客户端列表界面即可查看客户端的具体信息，内容包括客户端A</w:t>
            </w:r>
            <w:r>
              <w:rPr>
                <w:rFonts w:asciiTheme="minorEastAsia" w:hAnsiTheme="minorEastAsia" w:eastAsiaTheme="minorEastAsia"/>
                <w:szCs w:val="21"/>
              </w:rPr>
              <w:t>GENT</w:t>
            </w:r>
            <w:r>
              <w:rPr>
                <w:rFonts w:hint="eastAsia" w:asciiTheme="minorEastAsia" w:hAnsiTheme="minorEastAsia" w:eastAsiaTheme="minorEastAsia"/>
                <w:szCs w:val="21"/>
              </w:rPr>
              <w:t>版本、I</w:t>
            </w:r>
            <w:r>
              <w:rPr>
                <w:rFonts w:asciiTheme="minorEastAsia" w:hAnsiTheme="minorEastAsia" w:eastAsiaTheme="minorEastAsia"/>
                <w:szCs w:val="21"/>
              </w:rPr>
              <w:t>P</w:t>
            </w:r>
            <w:r>
              <w:rPr>
                <w:rFonts w:hint="eastAsia" w:asciiTheme="minorEastAsia" w:hAnsiTheme="minorEastAsia" w:eastAsiaTheme="minorEastAsia"/>
                <w:szCs w:val="21"/>
              </w:rPr>
              <w:t>地址、M</w:t>
            </w:r>
            <w:r>
              <w:rPr>
                <w:rFonts w:asciiTheme="minorEastAsia" w:hAnsiTheme="minorEastAsia" w:eastAsiaTheme="minorEastAsia"/>
                <w:szCs w:val="21"/>
              </w:rPr>
              <w:t>AC</w:t>
            </w:r>
            <w:r>
              <w:rPr>
                <w:rFonts w:hint="eastAsia" w:asciiTheme="minorEastAsia" w:hAnsiTheme="minorEastAsia" w:eastAsiaTheme="minorEastAsia"/>
                <w:szCs w:val="21"/>
              </w:rPr>
              <w:t>地址、操作系统版本、磁盘数量、磁盘具体信息、容量和已使用空间等信息；</w:t>
            </w:r>
          </w:p>
        </w:tc>
      </w:tr>
      <w:tr w14:paraId="3D76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366B8801">
            <w:pPr>
              <w:jc w:val="center"/>
              <w:rPr>
                <w:rFonts w:hint="eastAsia" w:asciiTheme="minorEastAsia" w:hAnsiTheme="minorEastAsia" w:eastAsiaTheme="minorEastAsia"/>
                <w:szCs w:val="21"/>
              </w:rPr>
            </w:pPr>
          </w:p>
        </w:tc>
        <w:tc>
          <w:tcPr>
            <w:tcW w:w="1336" w:type="dxa"/>
            <w:vMerge w:val="continue"/>
            <w:vAlign w:val="center"/>
          </w:tcPr>
          <w:p w14:paraId="4CCB7CDD">
            <w:pPr>
              <w:jc w:val="center"/>
              <w:rPr>
                <w:rFonts w:hint="eastAsia" w:asciiTheme="minorEastAsia" w:hAnsiTheme="minorEastAsia" w:eastAsiaTheme="minorEastAsia"/>
                <w:szCs w:val="21"/>
              </w:rPr>
            </w:pPr>
          </w:p>
        </w:tc>
        <w:tc>
          <w:tcPr>
            <w:tcW w:w="5525" w:type="dxa"/>
            <w:vAlign w:val="center"/>
          </w:tcPr>
          <w:p w14:paraId="358211FD">
            <w:pPr>
              <w:rPr>
                <w:rFonts w:hint="eastAsia" w:asciiTheme="minorEastAsia" w:hAnsiTheme="minorEastAsia" w:eastAsiaTheme="minorEastAsia"/>
                <w:szCs w:val="21"/>
              </w:rPr>
            </w:pPr>
            <w:r>
              <w:rPr>
                <w:rFonts w:hint="eastAsia" w:asciiTheme="minorEastAsia" w:hAnsiTheme="minorEastAsia" w:eastAsiaTheme="minorEastAsia"/>
                <w:szCs w:val="21"/>
              </w:rPr>
              <w:t>支持多租户架构，每个租户拥有自己独立的容灾资源池，可以为多个客户服务，而客户之间的数据、状态等信息完全保持隔离，分别对平台使用、计算资源、存储资源等权限划分，同时分别为使用者提供相应的容灾备份与恢复的使用权限。</w:t>
            </w:r>
          </w:p>
        </w:tc>
      </w:tr>
      <w:tr w14:paraId="1643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712515C3">
            <w:pPr>
              <w:jc w:val="center"/>
              <w:rPr>
                <w:rFonts w:hint="eastAsia" w:asciiTheme="minorEastAsia" w:hAnsiTheme="minorEastAsia" w:eastAsiaTheme="minorEastAsia"/>
                <w:szCs w:val="21"/>
              </w:rPr>
            </w:pPr>
          </w:p>
        </w:tc>
        <w:tc>
          <w:tcPr>
            <w:tcW w:w="1336" w:type="dxa"/>
            <w:vMerge w:val="continue"/>
            <w:vAlign w:val="center"/>
          </w:tcPr>
          <w:p w14:paraId="01FD59D0">
            <w:pPr>
              <w:jc w:val="center"/>
              <w:rPr>
                <w:rFonts w:hint="eastAsia" w:asciiTheme="minorEastAsia" w:hAnsiTheme="minorEastAsia" w:eastAsiaTheme="minorEastAsia"/>
                <w:szCs w:val="21"/>
              </w:rPr>
            </w:pPr>
          </w:p>
        </w:tc>
        <w:tc>
          <w:tcPr>
            <w:tcW w:w="5525" w:type="dxa"/>
            <w:vAlign w:val="center"/>
          </w:tcPr>
          <w:p w14:paraId="6F6B4246">
            <w:pPr>
              <w:rPr>
                <w:rFonts w:hint="eastAsia" w:asciiTheme="minorEastAsia" w:hAnsiTheme="minorEastAsia" w:eastAsiaTheme="minorEastAsia"/>
                <w:szCs w:val="21"/>
              </w:rPr>
            </w:pPr>
            <w:r>
              <w:rPr>
                <w:rFonts w:hint="eastAsia" w:asciiTheme="minorEastAsia" w:hAnsiTheme="minorEastAsia" w:eastAsiaTheme="minorEastAsia"/>
                <w:szCs w:val="21"/>
              </w:rPr>
              <w:t>提供内置产品帮助手册，满足运维管理人员快速入门操作</w:t>
            </w:r>
          </w:p>
        </w:tc>
      </w:tr>
      <w:tr w14:paraId="61E36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336" w:type="dxa"/>
            <w:vMerge w:val="continue"/>
            <w:vAlign w:val="center"/>
          </w:tcPr>
          <w:p w14:paraId="1B4F39A7">
            <w:pPr>
              <w:jc w:val="center"/>
              <w:rPr>
                <w:rFonts w:hint="eastAsia" w:asciiTheme="minorEastAsia" w:hAnsiTheme="minorEastAsia" w:eastAsiaTheme="minorEastAsia"/>
                <w:szCs w:val="21"/>
              </w:rPr>
            </w:pPr>
          </w:p>
        </w:tc>
        <w:tc>
          <w:tcPr>
            <w:tcW w:w="1336" w:type="dxa"/>
            <w:vMerge w:val="continue"/>
            <w:vAlign w:val="center"/>
          </w:tcPr>
          <w:p w14:paraId="47211AC2">
            <w:pPr>
              <w:jc w:val="center"/>
              <w:rPr>
                <w:rFonts w:hint="eastAsia" w:asciiTheme="minorEastAsia" w:hAnsiTheme="minorEastAsia" w:eastAsiaTheme="minorEastAsia"/>
                <w:szCs w:val="21"/>
              </w:rPr>
            </w:pPr>
          </w:p>
        </w:tc>
        <w:tc>
          <w:tcPr>
            <w:tcW w:w="5525" w:type="dxa"/>
            <w:vAlign w:val="center"/>
          </w:tcPr>
          <w:p w14:paraId="5C0C6D26">
            <w:pPr>
              <w:rPr>
                <w:rFonts w:hint="eastAsia" w:asciiTheme="minorEastAsia" w:hAnsiTheme="minorEastAsia" w:eastAsiaTheme="minorEastAsia"/>
                <w:szCs w:val="21"/>
              </w:rPr>
            </w:pPr>
            <w:r>
              <w:rPr>
                <w:rFonts w:hint="eastAsia" w:asciiTheme="minorEastAsia" w:hAnsiTheme="minorEastAsia" w:eastAsiaTheme="minorEastAsia"/>
                <w:szCs w:val="21"/>
              </w:rPr>
              <w:t>支持以邮件告警等方式对灾备系统的软件故障、存储空间、备份任务、操作状态等提供通知；</w:t>
            </w:r>
            <w:r>
              <w:rPr>
                <w:rFonts w:asciiTheme="minorEastAsia" w:hAnsiTheme="minorEastAsia" w:eastAsiaTheme="minorEastAsia"/>
                <w:szCs w:val="21"/>
              </w:rPr>
              <w:t xml:space="preserve"> </w:t>
            </w:r>
          </w:p>
        </w:tc>
      </w:tr>
      <w:tr w14:paraId="4352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336" w:type="dxa"/>
            <w:vMerge w:val="continue"/>
            <w:vAlign w:val="center"/>
          </w:tcPr>
          <w:p w14:paraId="05C2DA98">
            <w:pPr>
              <w:jc w:val="center"/>
              <w:rPr>
                <w:rFonts w:hint="eastAsia" w:asciiTheme="minorEastAsia" w:hAnsiTheme="minorEastAsia" w:eastAsiaTheme="minorEastAsia"/>
                <w:szCs w:val="21"/>
              </w:rPr>
            </w:pPr>
          </w:p>
        </w:tc>
        <w:tc>
          <w:tcPr>
            <w:tcW w:w="1336" w:type="dxa"/>
            <w:vMerge w:val="continue"/>
            <w:vAlign w:val="center"/>
          </w:tcPr>
          <w:p w14:paraId="4293A02D">
            <w:pPr>
              <w:jc w:val="center"/>
              <w:rPr>
                <w:rFonts w:hint="eastAsia" w:asciiTheme="minorEastAsia" w:hAnsiTheme="minorEastAsia" w:eastAsiaTheme="minorEastAsia"/>
                <w:szCs w:val="21"/>
              </w:rPr>
            </w:pPr>
          </w:p>
        </w:tc>
        <w:tc>
          <w:tcPr>
            <w:tcW w:w="5525" w:type="dxa"/>
            <w:vAlign w:val="center"/>
          </w:tcPr>
          <w:p w14:paraId="3474C79F">
            <w:pPr>
              <w:rPr>
                <w:rFonts w:hint="eastAsia" w:asciiTheme="minorEastAsia" w:hAnsiTheme="minorEastAsia" w:eastAsiaTheme="minorEastAsia"/>
                <w:szCs w:val="21"/>
              </w:rPr>
            </w:pPr>
            <w:r>
              <w:rPr>
                <w:rFonts w:hint="eastAsia" w:asciiTheme="minorEastAsia" w:hAnsiTheme="minorEastAsia" w:eastAsiaTheme="minorEastAsia"/>
                <w:szCs w:val="21"/>
              </w:rPr>
              <w:t>支持仪表板显示功能，可自定义设置实时动态轮播设置，包含对计算资源、存储资源和容灾网络资源的展示，客户端主机运行情况的实时动态轮播。</w:t>
            </w:r>
          </w:p>
        </w:tc>
      </w:tr>
      <w:tr w14:paraId="5A72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restart"/>
            <w:vAlign w:val="center"/>
          </w:tcPr>
          <w:p w14:paraId="44FF58BD">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资质服务</w:t>
            </w:r>
          </w:p>
        </w:tc>
        <w:tc>
          <w:tcPr>
            <w:tcW w:w="1336" w:type="dxa"/>
            <w:vAlign w:val="center"/>
          </w:tcPr>
          <w:p w14:paraId="12FC137E">
            <w:pPr>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灾备服务</w:t>
            </w:r>
          </w:p>
        </w:tc>
        <w:tc>
          <w:tcPr>
            <w:tcW w:w="5525" w:type="dxa"/>
            <w:vAlign w:val="center"/>
          </w:tcPr>
          <w:p w14:paraId="6085E705">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1、提供容灾备份规划书：建立完备的数据备份和恢复机制，以确保核心业务数据在灾难事件期间的安全性和可靠性。</w:t>
            </w:r>
          </w:p>
          <w:p w14:paraId="0BFC9F7C">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2、建设灾难恢复计划：制定详细的灾难恢复计划，包括恢复时间目标（RTO）和恢复点目标（RPO），以快速响应和恢复核心业务系统的正常运行。</w:t>
            </w:r>
          </w:p>
          <w:p w14:paraId="757F0467">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3、故障切换和故障转移：通过使用故障切换和故障转移技术，确保核心业务系统在发生故障时能够无缝切换到备用设备或系统，以保证业务的连续性。</w:t>
            </w:r>
          </w:p>
          <w:p w14:paraId="24D8D1A4">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4、演练和测试：一年至少2次灾难恢复演练和功能性测试，每月一次的容灾平台可用性巡检并出具原厂报告评估韧性服务的有效性和可靠性，并不断改进和优化系统的灾备能力。</w:t>
            </w:r>
          </w:p>
          <w:p w14:paraId="6B849187">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5、▲免费协助医院完成互联互通及电子病灾备相关的评审工作。</w:t>
            </w:r>
          </w:p>
        </w:tc>
      </w:tr>
      <w:tr w14:paraId="1F08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dxa"/>
            <w:vMerge w:val="continue"/>
            <w:vAlign w:val="center"/>
          </w:tcPr>
          <w:p w14:paraId="47C8F2ED">
            <w:pPr>
              <w:rPr>
                <w:rFonts w:hint="eastAsia" w:cs="宋体" w:asciiTheme="minorEastAsia" w:hAnsiTheme="minorEastAsia" w:eastAsiaTheme="minorEastAsia"/>
                <w:szCs w:val="21"/>
              </w:rPr>
            </w:pPr>
          </w:p>
        </w:tc>
        <w:tc>
          <w:tcPr>
            <w:tcW w:w="1336" w:type="dxa"/>
            <w:vAlign w:val="center"/>
          </w:tcPr>
          <w:p w14:paraId="031C5414">
            <w:pPr>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厂商资质</w:t>
            </w:r>
          </w:p>
        </w:tc>
        <w:tc>
          <w:tcPr>
            <w:tcW w:w="5525" w:type="dxa"/>
            <w:vAlign w:val="center"/>
          </w:tcPr>
          <w:p w14:paraId="27936A80">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1、产品为自主研发产品，非OEM，提供《计算机软件著作权登记证书》复印件并加盖原厂公章；</w:t>
            </w:r>
          </w:p>
          <w:p w14:paraId="5D697E59">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2、产品需通过中国信息安全认证中心(ISCCC)，投标文件提供证书复印件并加盖原厂公章；</w:t>
            </w:r>
          </w:p>
          <w:p w14:paraId="332111F8">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3、设备制造厂商通过ISO9001及14001体系认证，提供复印件并加盖原厂公章。</w:t>
            </w:r>
          </w:p>
          <w:p w14:paraId="16BB37AE">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4、提供原厂授权及售后服务承诺函原件。</w:t>
            </w:r>
          </w:p>
          <w:p w14:paraId="2753C6DC">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5、提供涉密资质证书复印件并加盖原厂公章。</w:t>
            </w:r>
          </w:p>
          <w:p w14:paraId="653B175B">
            <w:pPr>
              <w:rPr>
                <w:rFonts w:hint="eastAsia" w:cs="宋体" w:asciiTheme="minorEastAsia" w:hAnsiTheme="minorEastAsia" w:eastAsiaTheme="minorEastAsia"/>
                <w:szCs w:val="21"/>
              </w:rPr>
            </w:pPr>
            <w:r>
              <w:rPr>
                <w:rFonts w:hint="eastAsia" w:cs="宋体" w:asciiTheme="minorEastAsia" w:hAnsiTheme="minorEastAsia" w:eastAsiaTheme="minorEastAsia"/>
                <w:szCs w:val="21"/>
              </w:rPr>
              <w:t>6、▲提供《网络关键设备和网络安全专用产品安全认证证书》。</w:t>
            </w:r>
          </w:p>
          <w:p w14:paraId="70D23EE8">
            <w:pPr>
              <w:rPr>
                <w:rFonts w:hint="eastAsia" w:cs="宋体" w:asciiTheme="minorEastAsia" w:hAnsiTheme="minorEastAsia" w:eastAsiaTheme="minorEastAsia"/>
                <w:color w:val="FF0000"/>
                <w:szCs w:val="21"/>
              </w:rPr>
            </w:pPr>
            <w:r>
              <w:rPr>
                <w:rFonts w:hint="eastAsia" w:cs="宋体" w:asciiTheme="minorEastAsia" w:hAnsiTheme="minorEastAsia" w:eastAsiaTheme="minorEastAsia"/>
                <w:szCs w:val="21"/>
              </w:rPr>
              <w:t>7、▲提供国际权威咨询机构IDC统计的中国DR&amp;P医疗行业市场占比前三证明</w:t>
            </w:r>
          </w:p>
        </w:tc>
      </w:tr>
    </w:tbl>
    <w:p w14:paraId="3D1A08A6">
      <w:pPr>
        <w:widowControl/>
        <w:numPr>
          <w:ilvl w:val="0"/>
          <w:numId w:val="0"/>
        </w:numPr>
        <w:autoSpaceDN w:val="0"/>
        <w:snapToGrid w:val="0"/>
        <w:spacing w:line="360" w:lineRule="auto"/>
        <w:ind w:left="0" w:leftChars="0"/>
      </w:pPr>
      <w:bookmarkStart w:id="1" w:name="_GoBack"/>
      <w:bookmarkEnd w:id="1"/>
    </w:p>
    <w:p w14:paraId="39B3E3F8">
      <w:pPr>
        <w:widowControl/>
        <w:numPr>
          <w:ilvl w:val="0"/>
          <w:numId w:val="0"/>
        </w:numPr>
        <w:autoSpaceDN w:val="0"/>
        <w:snapToGrid w:val="0"/>
        <w:spacing w:line="360" w:lineRule="auto"/>
        <w:ind w:left="0" w:leftChars="0"/>
        <w:rPr>
          <w:rFonts w:hint="eastAsia" w:ascii="宋体" w:hAnsi="宋体" w:cs="宋体"/>
          <w:b/>
          <w:bCs/>
          <w:snapToGrid w:val="0"/>
          <w:color w:val="000000"/>
          <w:kern w:val="0"/>
          <w:sz w:val="24"/>
          <w:highlight w:val="none"/>
        </w:rPr>
      </w:pPr>
      <w:r>
        <w:rPr>
          <w:rFonts w:hint="eastAsia" w:ascii="宋体" w:hAnsi="宋体" w:cs="宋体"/>
          <w:b/>
          <w:bCs/>
          <w:snapToGrid w:val="0"/>
          <w:color w:val="000000"/>
          <w:kern w:val="0"/>
          <w:sz w:val="24"/>
          <w:szCs w:val="22"/>
          <w:lang w:val="en-US" w:eastAsia="zh-CN" w:bidi="ar-SA"/>
        </w:rPr>
        <w:t>五、</w:t>
      </w:r>
      <w:r>
        <w:rPr>
          <w:rFonts w:hint="eastAsia" w:ascii="宋体" w:hAnsi="宋体" w:cs="宋体"/>
          <w:b/>
          <w:bCs/>
          <w:snapToGrid w:val="0"/>
          <w:color w:val="000000"/>
          <w:kern w:val="0"/>
          <w:sz w:val="24"/>
          <w:highlight w:val="none"/>
          <w:lang w:eastAsia="zh-CN"/>
        </w:rPr>
        <w:t>资质标准</w:t>
      </w:r>
    </w:p>
    <w:p w14:paraId="7B06732C">
      <w:pPr>
        <w:widowControl/>
        <w:numPr>
          <w:ilvl w:val="0"/>
          <w:numId w:val="0"/>
        </w:numPr>
        <w:autoSpaceDN w:val="0"/>
        <w:snapToGrid w:val="0"/>
        <w:spacing w:line="360" w:lineRule="auto"/>
        <w:rPr>
          <w:rFonts w:hint="eastAsia" w:ascii="宋体" w:hAnsi="宋体" w:cs="宋体"/>
          <w:snapToGrid w:val="0"/>
          <w:color w:val="000000"/>
          <w:kern w:val="0"/>
          <w:sz w:val="24"/>
          <w:highlight w:val="none"/>
        </w:rPr>
      </w:pPr>
      <w:r>
        <w:rPr>
          <w:rFonts w:hint="eastAsia" w:ascii="宋体" w:hAnsi="宋体" w:cs="宋体"/>
          <w:snapToGrid w:val="0"/>
          <w:color w:val="000000"/>
          <w:kern w:val="0"/>
          <w:sz w:val="24"/>
          <w:highlight w:val="none"/>
          <w:lang w:val="en-US" w:eastAsia="zh-CN"/>
        </w:rPr>
        <w:t>参与单位</w:t>
      </w:r>
      <w:r>
        <w:rPr>
          <w:rFonts w:hint="eastAsia" w:ascii="宋体" w:hAnsi="宋体" w:cs="宋体"/>
          <w:snapToGrid w:val="0"/>
          <w:color w:val="000000"/>
          <w:kern w:val="0"/>
          <w:sz w:val="24"/>
          <w:highlight w:val="none"/>
        </w:rPr>
        <w:t>必须符合《政府采购法》第二十二条规定的条件：</w:t>
      </w:r>
    </w:p>
    <w:p w14:paraId="783D527C">
      <w:pPr>
        <w:widowControl/>
        <w:numPr>
          <w:ilvl w:val="0"/>
          <w:numId w:val="0"/>
        </w:numPr>
        <w:autoSpaceDN w:val="0"/>
        <w:snapToGrid w:val="0"/>
        <w:spacing w:line="360" w:lineRule="auto"/>
        <w:rPr>
          <w:rFonts w:hint="eastAsia" w:ascii="宋体" w:hAnsi="宋体" w:cs="宋体"/>
          <w:snapToGrid w:val="0"/>
          <w:color w:val="000000"/>
          <w:kern w:val="0"/>
          <w:sz w:val="24"/>
          <w:highlight w:val="none"/>
        </w:rPr>
      </w:pP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一</w:t>
      </w: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参与单位</w:t>
      </w:r>
      <w:r>
        <w:rPr>
          <w:rFonts w:hint="eastAsia" w:ascii="宋体" w:hAnsi="宋体" w:cs="宋体"/>
          <w:snapToGrid w:val="0"/>
          <w:color w:val="000000"/>
          <w:kern w:val="0"/>
          <w:sz w:val="24"/>
          <w:highlight w:val="none"/>
        </w:rPr>
        <w:t>必须是中华人民共和国境内的独立法人企业或其他组织。</w:t>
      </w:r>
    </w:p>
    <w:p w14:paraId="1C7C62D7">
      <w:pPr>
        <w:widowControl/>
        <w:numPr>
          <w:ilvl w:val="0"/>
          <w:numId w:val="0"/>
        </w:numPr>
        <w:autoSpaceDN w:val="0"/>
        <w:snapToGrid w:val="0"/>
        <w:spacing w:line="360" w:lineRule="auto"/>
        <w:rPr>
          <w:rFonts w:hint="eastAsia" w:ascii="宋体" w:hAnsi="宋体" w:cs="宋体"/>
          <w:snapToGrid w:val="0"/>
          <w:color w:val="000000"/>
          <w:kern w:val="0"/>
          <w:sz w:val="24"/>
          <w:highlight w:val="none"/>
        </w:rPr>
      </w:pP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二</w:t>
      </w: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参与单位</w:t>
      </w:r>
      <w:r>
        <w:rPr>
          <w:rFonts w:hint="eastAsia" w:ascii="宋体" w:hAnsi="宋体" w:cs="宋体"/>
          <w:snapToGrid w:val="0"/>
          <w:color w:val="000000"/>
          <w:kern w:val="0"/>
          <w:sz w:val="24"/>
          <w:highlight w:val="none"/>
        </w:rPr>
        <w:t>有效证件：营业执照副本、组织机构代码证副本（如有）、国税和地税税务登记证副本或三证合一的营业执照副本、法定代表人(或负责人)身份证。</w:t>
      </w:r>
    </w:p>
    <w:p w14:paraId="67D91060">
      <w:pPr>
        <w:widowControl/>
        <w:numPr>
          <w:ilvl w:val="0"/>
          <w:numId w:val="0"/>
        </w:numPr>
        <w:autoSpaceDN w:val="0"/>
        <w:snapToGrid w:val="0"/>
        <w:spacing w:line="360" w:lineRule="auto"/>
        <w:rPr>
          <w:rFonts w:hint="eastAsia" w:ascii="宋体" w:hAnsi="宋体" w:cs="宋体"/>
          <w:snapToGrid w:val="0"/>
          <w:color w:val="000000"/>
          <w:kern w:val="0"/>
          <w:sz w:val="24"/>
          <w:highlight w:val="none"/>
        </w:rPr>
      </w:pP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三</w:t>
      </w: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参与单位</w:t>
      </w:r>
      <w:r>
        <w:rPr>
          <w:rFonts w:hint="eastAsia" w:ascii="宋体" w:hAnsi="宋体" w:cs="宋体"/>
          <w:snapToGrid w:val="0"/>
          <w:color w:val="000000"/>
          <w:kern w:val="0"/>
          <w:sz w:val="24"/>
          <w:highlight w:val="none"/>
        </w:rPr>
        <w:t>响应参数需求应具体、明确，含糊不清、不确切或伪造、变造证明材料的，构成提供虚假材料的，移送监管部门查处。</w:t>
      </w:r>
      <w:r>
        <w:rPr>
          <w:rFonts w:hint="eastAsia" w:ascii="宋体" w:hAnsi="宋体" w:cs="宋体"/>
          <w:snapToGrid w:val="0"/>
          <w:color w:val="000000"/>
          <w:kern w:val="0"/>
          <w:sz w:val="24"/>
          <w:highlight w:val="none"/>
          <w:lang w:eastAsia="zh-CN"/>
        </w:rPr>
        <w:t>参与单位</w:t>
      </w:r>
      <w:r>
        <w:rPr>
          <w:rFonts w:hint="eastAsia" w:ascii="宋体" w:hAnsi="宋体" w:cs="宋体"/>
          <w:snapToGrid w:val="0"/>
          <w:color w:val="000000"/>
          <w:kern w:val="0"/>
          <w:sz w:val="24"/>
          <w:highlight w:val="none"/>
        </w:rPr>
        <w:t>必须承诺提供厂商原装、全新的、符合国家及用户提出的有关质量标准的设备，所提供商品必需要满足需求文件中有关参数。</w:t>
      </w:r>
    </w:p>
    <w:p w14:paraId="7BC19F01">
      <w:pPr>
        <w:widowControl/>
        <w:numPr>
          <w:ilvl w:val="0"/>
          <w:numId w:val="0"/>
        </w:numPr>
        <w:autoSpaceDN w:val="0"/>
        <w:snapToGrid w:val="0"/>
        <w:spacing w:line="360" w:lineRule="auto"/>
        <w:rPr>
          <w:rFonts w:hint="eastAsia" w:ascii="宋体" w:hAnsi="宋体" w:cs="宋体"/>
          <w:snapToGrid w:val="0"/>
          <w:color w:val="000000"/>
          <w:kern w:val="0"/>
          <w:sz w:val="24"/>
          <w:highlight w:val="none"/>
        </w:rPr>
      </w:pP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四</w:t>
      </w:r>
      <w:r>
        <w:rPr>
          <w:rFonts w:hint="eastAsia" w:ascii="宋体" w:hAnsi="宋体" w:cs="宋体"/>
          <w:snapToGrid w:val="0"/>
          <w:color w:val="000000"/>
          <w:kern w:val="0"/>
          <w:sz w:val="24"/>
          <w:highlight w:val="none"/>
        </w:rPr>
        <w:t>）</w:t>
      </w:r>
      <w:r>
        <w:rPr>
          <w:rFonts w:hint="eastAsia" w:ascii="宋体" w:hAnsi="宋体" w:cs="宋体"/>
          <w:snapToGrid w:val="0"/>
          <w:color w:val="000000"/>
          <w:kern w:val="0"/>
          <w:sz w:val="24"/>
          <w:highlight w:val="none"/>
          <w:lang w:eastAsia="zh-CN"/>
        </w:rPr>
        <w:t>参与单位</w:t>
      </w:r>
      <w:r>
        <w:rPr>
          <w:rFonts w:hint="eastAsia" w:ascii="宋体" w:hAnsi="宋体" w:cs="宋体"/>
          <w:snapToGrid w:val="0"/>
          <w:color w:val="000000"/>
          <w:kern w:val="0"/>
          <w:sz w:val="24"/>
          <w:highlight w:val="none"/>
        </w:rPr>
        <w:t>需具备项目建设相关资质。</w:t>
      </w:r>
    </w:p>
    <w:p w14:paraId="3F0CA51C">
      <w:pPr>
        <w:widowControl/>
        <w:autoSpaceDN w:val="0"/>
        <w:snapToGrid w:val="0"/>
        <w:spacing w:line="360" w:lineRule="auto"/>
        <w:rPr>
          <w:rFonts w:hint="eastAsia" w:ascii="宋体" w:hAnsi="宋体" w:cs="宋体"/>
          <w:b/>
          <w:bCs/>
          <w:snapToGrid w:val="0"/>
          <w:color w:val="000000"/>
          <w:kern w:val="0"/>
          <w:sz w:val="24"/>
          <w:highlight w:val="none"/>
          <w:lang w:eastAsia="zh-CN"/>
        </w:rPr>
      </w:pPr>
      <w:r>
        <w:rPr>
          <w:rFonts w:hint="eastAsia" w:ascii="宋体" w:hAnsi="宋体" w:cs="宋体"/>
          <w:b/>
          <w:bCs/>
          <w:snapToGrid w:val="0"/>
          <w:color w:val="000000"/>
          <w:kern w:val="0"/>
          <w:sz w:val="24"/>
          <w:highlight w:val="none"/>
          <w:lang w:eastAsia="zh-CN"/>
        </w:rPr>
        <w:t>六、响应资料要求</w:t>
      </w:r>
    </w:p>
    <w:p w14:paraId="42080453">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封面和目录（封面主要信息：项目名称、公司、项目联系人、联系电话等，目录按下列顺序编排，写明页码）</w:t>
      </w:r>
    </w:p>
    <w:p w14:paraId="5757B530">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（一）生产厂家证件（营业执照、相关经营许可证等，复印件加盖鲜章）</w:t>
      </w:r>
    </w:p>
    <w:p w14:paraId="745FD232">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（二）供应商有限证件(营业执照、相关经营许可证等，复印件加盖鲜章)</w:t>
      </w:r>
    </w:p>
    <w:p w14:paraId="47AB6BCA">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（三）法定代表人/负责人资格证明书（加盖鲜章）</w:t>
      </w:r>
    </w:p>
    <w:p w14:paraId="0C3A41E0">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（四）法定代表人/负责人授权委托书（加盖鲜章）</w:t>
      </w:r>
    </w:p>
    <w:p w14:paraId="4BDEF72F">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（五）厂家售后服务授权书（如有请提供，加盖鲜章）</w:t>
      </w:r>
    </w:p>
    <w:p w14:paraId="67375A49">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（六）项目报价单（加盖鲜章）</w:t>
      </w:r>
    </w:p>
    <w:p w14:paraId="4AEF63D6">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（七）项目配置清单及常规全新配置优惠价清单（加盖鲜章）</w:t>
      </w:r>
    </w:p>
    <w:p w14:paraId="0185B0F7">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（八）此类项目的以往医院（三甲优先）的合同或发票复印件（加盖鲜章）</w:t>
      </w:r>
    </w:p>
    <w:p w14:paraId="24349344">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注意：</w:t>
      </w:r>
    </w:p>
    <w:p w14:paraId="1A6F181D">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有知识产权、代理权等方面纠纷的供应商及产品不予考虑。</w:t>
      </w:r>
    </w:p>
    <w:p w14:paraId="09CA96FF">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eastAsia="宋体" w:cs="宋体"/>
          <w:color w:val="000000"/>
          <w:sz w:val="24"/>
          <w:szCs w:val="24"/>
          <w:highlight w:val="none"/>
          <w:lang w:eastAsia="zh-CN"/>
        </w:rPr>
        <w:t>广州中医药大学第一附属医院白云医院</w:t>
      </w:r>
      <w:r>
        <w:rPr>
          <w:rFonts w:hint="eastAsia" w:ascii="宋体" w:hAnsi="宋体" w:cs="宋体"/>
          <w:snapToGrid w:val="0"/>
          <w:color w:val="000000"/>
          <w:kern w:val="0"/>
          <w:sz w:val="24"/>
          <w:highlight w:val="none"/>
          <w:lang w:eastAsia="zh-CN"/>
        </w:rPr>
        <w:t>保留择优选择三家或以上供应商的权利，并优先考虑生产厂家或者一级代理报名参与项目。</w:t>
      </w:r>
    </w:p>
    <w:p w14:paraId="1EAE79B3">
      <w:pPr>
        <w:widowControl/>
        <w:autoSpaceDN w:val="0"/>
        <w:snapToGrid w:val="0"/>
        <w:spacing w:line="360" w:lineRule="auto"/>
        <w:rPr>
          <w:rFonts w:hint="eastAsia" w:ascii="宋体" w:hAnsi="宋体" w:cs="宋体"/>
          <w:snapToGrid w:val="0"/>
          <w:color w:val="000000"/>
          <w:kern w:val="0"/>
          <w:sz w:val="24"/>
          <w:highlight w:val="none"/>
          <w:lang w:eastAsia="zh-CN"/>
        </w:rPr>
      </w:pPr>
      <w:r>
        <w:rPr>
          <w:rFonts w:hint="eastAsia" w:ascii="宋体" w:hAnsi="宋体" w:cs="宋体"/>
          <w:snapToGrid w:val="0"/>
          <w:color w:val="000000"/>
          <w:kern w:val="0"/>
          <w:sz w:val="24"/>
          <w:highlight w:val="none"/>
          <w:lang w:eastAsia="zh-CN"/>
        </w:rPr>
        <w:t>不得出现围标、陪标等违规行为，一经发现，将列入</w:t>
      </w:r>
      <w:r>
        <w:rPr>
          <w:rFonts w:hint="eastAsia" w:ascii="宋体" w:hAnsi="宋体" w:eastAsia="宋体" w:cs="宋体"/>
          <w:color w:val="000000"/>
          <w:sz w:val="24"/>
          <w:szCs w:val="24"/>
          <w:highlight w:val="none"/>
          <w:lang w:eastAsia="zh-CN"/>
        </w:rPr>
        <w:t>广州中医药大学第一附属医院白云医院</w:t>
      </w:r>
      <w:r>
        <w:rPr>
          <w:rFonts w:hint="eastAsia" w:ascii="宋体" w:hAnsi="宋体" w:cs="宋体"/>
          <w:snapToGrid w:val="0"/>
          <w:color w:val="000000"/>
          <w:kern w:val="0"/>
          <w:sz w:val="24"/>
          <w:highlight w:val="none"/>
          <w:lang w:eastAsia="zh-CN"/>
        </w:rPr>
        <w:t>供应商黑名单。</w:t>
      </w:r>
    </w:p>
    <w:p w14:paraId="0253E8CB">
      <w:pPr>
        <w:widowControl/>
        <w:autoSpaceDN w:val="0"/>
        <w:snapToGrid w:val="0"/>
        <w:spacing w:line="360" w:lineRule="auto"/>
        <w:rPr>
          <w:rFonts w:hint="default" w:ascii="宋体" w:hAnsi="宋体" w:cs="宋体"/>
          <w:snapToGrid w:val="0"/>
          <w:color w:val="000000"/>
          <w:kern w:val="0"/>
          <w:sz w:val="24"/>
          <w:highlight w:val="yellow"/>
          <w:lang w:val="en-US" w:eastAsia="zh-CN"/>
        </w:rPr>
      </w:pPr>
      <w:r>
        <w:rPr>
          <w:rFonts w:hint="eastAsia" w:ascii="宋体" w:hAnsi="宋体" w:cs="宋体"/>
          <w:snapToGrid w:val="0"/>
          <w:color w:val="000000"/>
          <w:kern w:val="0"/>
          <w:sz w:val="24"/>
          <w:highlight w:val="none"/>
          <w:lang w:eastAsia="zh-CN"/>
        </w:rPr>
        <w:t>请有意向的供应商，自公告之日于</w:t>
      </w:r>
      <w:r>
        <w:rPr>
          <w:rFonts w:hint="eastAsia" w:ascii="宋体" w:hAnsi="宋体" w:cs="宋体"/>
          <w:snapToGrid w:val="0"/>
          <w:color w:val="0000FF"/>
          <w:kern w:val="0"/>
          <w:sz w:val="24"/>
          <w:highlight w:val="none"/>
          <w:lang w:eastAsia="zh-CN"/>
        </w:rPr>
        <w:t>2024年</w:t>
      </w:r>
      <w:r>
        <w:rPr>
          <w:rFonts w:hint="eastAsia" w:ascii="宋体" w:hAnsi="宋体" w:cs="宋体"/>
          <w:snapToGrid w:val="0"/>
          <w:color w:val="0000FF"/>
          <w:kern w:val="0"/>
          <w:sz w:val="24"/>
          <w:highlight w:val="none"/>
          <w:lang w:val="en-US" w:eastAsia="zh-CN"/>
        </w:rPr>
        <w:t>8</w:t>
      </w:r>
      <w:r>
        <w:rPr>
          <w:rFonts w:hint="eastAsia" w:ascii="宋体" w:hAnsi="宋体" w:cs="宋体"/>
          <w:snapToGrid w:val="0"/>
          <w:color w:val="0000FF"/>
          <w:kern w:val="0"/>
          <w:sz w:val="24"/>
          <w:highlight w:val="none"/>
          <w:lang w:eastAsia="zh-CN"/>
        </w:rPr>
        <w:t>月</w:t>
      </w:r>
      <w:r>
        <w:rPr>
          <w:rFonts w:hint="eastAsia" w:ascii="宋体" w:hAnsi="宋体" w:cs="宋体"/>
          <w:snapToGrid w:val="0"/>
          <w:color w:val="0000FF"/>
          <w:kern w:val="0"/>
          <w:sz w:val="24"/>
          <w:highlight w:val="none"/>
          <w:lang w:val="en-US" w:eastAsia="zh-CN"/>
        </w:rPr>
        <w:t>6</w:t>
      </w:r>
      <w:r>
        <w:rPr>
          <w:rFonts w:hint="eastAsia" w:ascii="宋体" w:hAnsi="宋体" w:cs="宋体"/>
          <w:snapToGrid w:val="0"/>
          <w:color w:val="0000FF"/>
          <w:kern w:val="0"/>
          <w:sz w:val="24"/>
          <w:highlight w:val="none"/>
          <w:lang w:eastAsia="zh-CN"/>
        </w:rPr>
        <w:t>日1</w:t>
      </w:r>
      <w:r>
        <w:rPr>
          <w:rFonts w:hint="eastAsia" w:ascii="宋体" w:hAnsi="宋体" w:cs="宋体"/>
          <w:snapToGrid w:val="0"/>
          <w:color w:val="0000FF"/>
          <w:kern w:val="0"/>
          <w:sz w:val="24"/>
          <w:highlight w:val="none"/>
          <w:lang w:val="en-US" w:eastAsia="zh-CN"/>
        </w:rPr>
        <w:t>5</w:t>
      </w:r>
      <w:r>
        <w:rPr>
          <w:rFonts w:hint="eastAsia" w:ascii="宋体" w:hAnsi="宋体" w:cs="宋体"/>
          <w:snapToGrid w:val="0"/>
          <w:color w:val="0000FF"/>
          <w:kern w:val="0"/>
          <w:sz w:val="24"/>
          <w:highlight w:val="none"/>
          <w:lang w:eastAsia="zh-CN"/>
        </w:rPr>
        <w:t>：00前</w:t>
      </w:r>
      <w:r>
        <w:rPr>
          <w:rFonts w:hint="eastAsia" w:ascii="宋体" w:hAnsi="宋体" w:cs="宋体"/>
          <w:snapToGrid w:val="0"/>
          <w:color w:val="000000"/>
          <w:kern w:val="0"/>
          <w:sz w:val="24"/>
          <w:highlight w:val="yellow"/>
          <w:lang w:eastAsia="zh-CN"/>
        </w:rPr>
        <w:t>按资质要求</w:t>
      </w:r>
      <w:r>
        <w:rPr>
          <w:rFonts w:hint="eastAsia" w:ascii="宋体" w:hAnsi="宋体" w:cs="宋体"/>
          <w:snapToGrid w:val="0"/>
          <w:color w:val="000000"/>
          <w:kern w:val="0"/>
          <w:sz w:val="24"/>
          <w:highlight w:val="yellow"/>
          <w:lang w:val="en-US" w:eastAsia="zh-CN"/>
        </w:rPr>
        <w:t>现场提交资料并进行现场论证，调研资料请做好密封。</w:t>
      </w:r>
    </w:p>
    <w:p w14:paraId="54807B84">
      <w:pPr>
        <w:widowControl/>
        <w:numPr>
          <w:ilvl w:val="0"/>
          <w:numId w:val="0"/>
        </w:numPr>
        <w:autoSpaceDN w:val="0"/>
        <w:snapToGrid w:val="0"/>
        <w:spacing w:line="360" w:lineRule="auto"/>
        <w:ind w:leftChars="0"/>
        <w:rPr>
          <w:rFonts w:hint="default" w:ascii="宋体" w:hAnsi="宋体" w:cs="宋体"/>
          <w:b/>
          <w:bCs w:val="0"/>
          <w:snapToGrid w:val="0"/>
          <w:color w:val="000000"/>
          <w:kern w:val="0"/>
          <w:sz w:val="24"/>
          <w:highlight w:val="none"/>
          <w:lang w:val="en-US"/>
        </w:rPr>
      </w:pPr>
      <w:r>
        <w:rPr>
          <w:rFonts w:hint="eastAsia" w:ascii="宋体" w:hAnsi="宋体" w:cs="宋体"/>
          <w:b/>
          <w:bCs w:val="0"/>
          <w:snapToGrid w:val="0"/>
          <w:color w:val="000000"/>
          <w:kern w:val="0"/>
          <w:sz w:val="24"/>
          <w:highlight w:val="none"/>
          <w:lang w:val="en-US" w:eastAsia="zh-CN"/>
        </w:rPr>
        <w:t>七、其他要求</w:t>
      </w:r>
    </w:p>
    <w:p w14:paraId="694C3E61">
      <w:pPr>
        <w:tabs>
          <w:tab w:val="left" w:pos="72"/>
        </w:tabs>
        <w:spacing w:line="312" w:lineRule="auto"/>
        <w:rPr>
          <w:rFonts w:hint="eastAsia" w:ascii="宋体" w:hAnsi="宋体"/>
          <w:b/>
          <w:color w:val="FF0000"/>
          <w:sz w:val="24"/>
          <w:szCs w:val="24"/>
          <w:highlight w:val="none"/>
        </w:rPr>
      </w:pPr>
      <w:r>
        <w:rPr>
          <w:rFonts w:hint="eastAsia" w:ascii="宋体" w:hAnsi="宋体" w:cs="宋体"/>
          <w:sz w:val="24"/>
          <w:highlight w:val="none"/>
          <w:lang w:eastAsia="zh-CN"/>
        </w:rPr>
        <w:t>（一）</w:t>
      </w:r>
      <w:r>
        <w:rPr>
          <w:rFonts w:hint="eastAsia" w:ascii="宋体" w:hAnsi="宋体" w:cs="宋体"/>
          <w:sz w:val="24"/>
          <w:highlight w:val="none"/>
        </w:rPr>
        <w:t>提供相关类似项目业绩</w:t>
      </w:r>
      <w:r>
        <w:rPr>
          <w:rFonts w:hint="eastAsia" w:ascii="宋体" w:hAnsi="宋体" w:cs="宋体"/>
          <w:snapToGrid w:val="0"/>
          <w:kern w:val="0"/>
          <w:sz w:val="24"/>
          <w:highlight w:val="none"/>
        </w:rPr>
        <w:t>（如合同复印件等）。</w:t>
      </w:r>
    </w:p>
    <w:p w14:paraId="73692385">
      <w:pPr>
        <w:spacing w:line="360" w:lineRule="auto"/>
        <w:rPr>
          <w:rFonts w:hint="eastAsia" w:ascii="宋体" w:hAnsi="宋体"/>
          <w:color w:val="000000"/>
          <w:sz w:val="24"/>
          <w:szCs w:val="24"/>
          <w:highlight w:val="none"/>
        </w:rPr>
      </w:pPr>
      <w:r>
        <w:rPr>
          <w:rFonts w:hint="eastAsia" w:ascii="宋体" w:hAnsi="宋体"/>
          <w:color w:val="000000"/>
          <w:sz w:val="24"/>
          <w:szCs w:val="24"/>
          <w:highlight w:val="none"/>
          <w:lang w:eastAsia="zh-CN"/>
        </w:rPr>
        <w:t>（二）调研</w:t>
      </w:r>
      <w:r>
        <w:rPr>
          <w:rFonts w:ascii="宋体" w:hAnsi="宋体"/>
          <w:color w:val="000000"/>
          <w:sz w:val="24"/>
          <w:szCs w:val="24"/>
          <w:highlight w:val="none"/>
        </w:rPr>
        <w:t>文件要求：</w:t>
      </w:r>
      <w:r>
        <w:rPr>
          <w:rFonts w:hint="eastAsia" w:ascii="宋体" w:hAnsi="宋体"/>
          <w:color w:val="000000"/>
          <w:sz w:val="24"/>
          <w:szCs w:val="24"/>
          <w:highlight w:val="none"/>
          <w:lang w:val="en-US" w:eastAsia="zh-CN"/>
        </w:rPr>
        <w:t>3</w:t>
      </w:r>
      <w:r>
        <w:rPr>
          <w:rFonts w:ascii="宋体" w:hAnsi="宋体"/>
          <w:color w:val="FF0000"/>
          <w:sz w:val="24"/>
          <w:szCs w:val="24"/>
          <w:highlight w:val="none"/>
        </w:rPr>
        <w:t>份</w:t>
      </w:r>
      <w:r>
        <w:rPr>
          <w:rFonts w:hint="eastAsia" w:ascii="宋体" w:hAnsi="宋体"/>
          <w:color w:val="FF0000"/>
          <w:sz w:val="24"/>
          <w:szCs w:val="24"/>
          <w:highlight w:val="none"/>
        </w:rPr>
        <w:t>（</w:t>
      </w:r>
      <w:r>
        <w:rPr>
          <w:rFonts w:hint="eastAsia" w:ascii="宋体" w:hAnsi="宋体"/>
          <w:color w:val="FF0000"/>
          <w:sz w:val="24"/>
          <w:szCs w:val="24"/>
          <w:highlight w:val="none"/>
          <w:lang w:val="en-US" w:eastAsia="zh-CN"/>
        </w:rPr>
        <w:t>1</w:t>
      </w:r>
      <w:r>
        <w:rPr>
          <w:rFonts w:hint="eastAsia" w:ascii="宋体" w:hAnsi="宋体"/>
          <w:color w:val="FF0000"/>
          <w:sz w:val="24"/>
          <w:szCs w:val="24"/>
          <w:highlight w:val="none"/>
        </w:rPr>
        <w:t>正</w:t>
      </w:r>
      <w:r>
        <w:rPr>
          <w:rFonts w:hint="eastAsia" w:ascii="宋体" w:hAnsi="宋体"/>
          <w:color w:val="FF0000"/>
          <w:sz w:val="24"/>
          <w:szCs w:val="24"/>
          <w:highlight w:val="none"/>
          <w:lang w:val="en-US" w:eastAsia="zh-CN"/>
        </w:rPr>
        <w:t>2</w:t>
      </w:r>
      <w:r>
        <w:rPr>
          <w:rFonts w:hint="eastAsia" w:ascii="宋体" w:hAnsi="宋体"/>
          <w:color w:val="FF0000"/>
          <w:sz w:val="24"/>
          <w:szCs w:val="24"/>
          <w:highlight w:val="none"/>
        </w:rPr>
        <w:t>副）</w:t>
      </w:r>
      <w:r>
        <w:rPr>
          <w:rFonts w:ascii="宋体" w:hAnsi="宋体"/>
          <w:color w:val="000000"/>
          <w:sz w:val="24"/>
          <w:szCs w:val="24"/>
          <w:highlight w:val="none"/>
        </w:rPr>
        <w:t>，开标前需</w:t>
      </w:r>
      <w:r>
        <w:rPr>
          <w:rFonts w:ascii="宋体" w:hAnsi="宋体"/>
          <w:color w:val="FF0000"/>
          <w:sz w:val="24"/>
          <w:szCs w:val="24"/>
          <w:highlight w:val="none"/>
        </w:rPr>
        <w:t>密封</w:t>
      </w:r>
      <w:r>
        <w:rPr>
          <w:rFonts w:ascii="宋体" w:hAnsi="宋体"/>
          <w:color w:val="000000"/>
          <w:sz w:val="24"/>
          <w:szCs w:val="24"/>
          <w:highlight w:val="none"/>
        </w:rPr>
        <w:t>，</w:t>
      </w:r>
      <w:r>
        <w:rPr>
          <w:rFonts w:hint="eastAsia" w:ascii="宋体" w:hAnsi="宋体"/>
          <w:color w:val="000000"/>
          <w:sz w:val="24"/>
          <w:szCs w:val="24"/>
          <w:highlight w:val="none"/>
        </w:rPr>
        <w:t>每份文件均需按序页码，双面打印。</w:t>
      </w:r>
    </w:p>
    <w:p w14:paraId="0E82E79A">
      <w:pPr>
        <w:pStyle w:val="8"/>
        <w:spacing w:line="336" w:lineRule="auto"/>
        <w:ind w:firstLine="0" w:firstLineChars="0"/>
        <w:jc w:val="left"/>
        <w:rPr>
          <w:rFonts w:hint="eastAsia" w:ascii="宋体" w:hAnsi="宋体"/>
          <w:color w:val="000000"/>
          <w:sz w:val="24"/>
          <w:highlight w:val="none"/>
        </w:rPr>
      </w:pPr>
      <w:r>
        <w:rPr>
          <w:rFonts w:hint="eastAsia" w:ascii="宋体" w:hAnsi="宋体"/>
          <w:color w:val="000000"/>
          <w:sz w:val="24"/>
          <w:highlight w:val="none"/>
          <w:lang w:eastAsia="zh-CN"/>
        </w:rPr>
        <w:t>八</w:t>
      </w:r>
      <w:r>
        <w:rPr>
          <w:rFonts w:hint="eastAsia" w:ascii="宋体" w:hAnsi="宋体"/>
          <w:color w:val="000000"/>
          <w:sz w:val="24"/>
          <w:highlight w:val="none"/>
        </w:rPr>
        <w:t>、联系人：</w:t>
      </w:r>
      <w:r>
        <w:rPr>
          <w:rFonts w:hint="eastAsia" w:ascii="宋体" w:hAnsi="宋体"/>
          <w:color w:val="000000"/>
          <w:sz w:val="24"/>
          <w:highlight w:val="none"/>
          <w:lang w:val="en-US" w:eastAsia="zh-CN"/>
        </w:rPr>
        <w:t>陈</w:t>
      </w:r>
      <w:r>
        <w:rPr>
          <w:rFonts w:ascii="宋体" w:hAnsi="宋体"/>
          <w:color w:val="000000"/>
          <w:sz w:val="24"/>
          <w:szCs w:val="24"/>
          <w:highlight w:val="none"/>
        </w:rPr>
        <w:t>老师</w:t>
      </w:r>
      <w:r>
        <w:rPr>
          <w:rFonts w:hint="eastAsia" w:ascii="宋体" w:hAnsi="宋体"/>
          <w:color w:val="000000"/>
          <w:sz w:val="24"/>
          <w:highlight w:val="none"/>
          <w:lang w:eastAsia="zh-CN"/>
        </w:rPr>
        <w:t>：</w:t>
      </w:r>
      <w:r>
        <w:rPr>
          <w:rFonts w:ascii="宋体" w:hAnsi="宋体"/>
          <w:color w:val="000000"/>
          <w:sz w:val="24"/>
          <w:szCs w:val="24"/>
          <w:highlight w:val="none"/>
        </w:rPr>
        <w:t>020-</w:t>
      </w:r>
      <w:r>
        <w:rPr>
          <w:rFonts w:hint="eastAsia" w:ascii="宋体" w:hAnsi="宋体"/>
          <w:color w:val="000000"/>
          <w:sz w:val="24"/>
          <w:szCs w:val="24"/>
          <w:highlight w:val="none"/>
          <w:lang w:val="en-US" w:eastAsia="zh-CN"/>
        </w:rPr>
        <w:t>86035823</w:t>
      </w:r>
      <w:r>
        <w:rPr>
          <w:rFonts w:hint="eastAsia" w:ascii="宋体" w:hAnsi="宋体"/>
          <w:color w:val="000000"/>
          <w:sz w:val="24"/>
          <w:highlight w:val="none"/>
        </w:rPr>
        <w:t>（项目咨询）</w:t>
      </w:r>
    </w:p>
    <w:p w14:paraId="5F5352D8">
      <w:pPr>
        <w:pStyle w:val="8"/>
        <w:spacing w:line="336" w:lineRule="auto"/>
        <w:ind w:firstLine="0" w:firstLineChars="0"/>
        <w:jc w:val="left"/>
        <w:rPr>
          <w:rFonts w:hint="default" w:ascii="宋体" w:hAnsi="宋体" w:eastAsia="宋体"/>
          <w:color w:val="000000"/>
          <w:sz w:val="24"/>
          <w:highlight w:val="none"/>
          <w:lang w:val="en-US" w:eastAsia="zh-CN"/>
        </w:rPr>
      </w:pPr>
      <w:r>
        <w:rPr>
          <w:rFonts w:hint="eastAsia" w:ascii="宋体" w:hAnsi="宋体"/>
          <w:color w:val="000000"/>
          <w:sz w:val="24"/>
          <w:highlight w:val="none"/>
          <w:lang w:eastAsia="zh-CN"/>
        </w:rPr>
        <w:t>九</w:t>
      </w:r>
      <w:r>
        <w:rPr>
          <w:rFonts w:hint="eastAsia" w:ascii="宋体" w:hAnsi="宋体"/>
          <w:color w:val="000000"/>
          <w:sz w:val="24"/>
          <w:highlight w:val="none"/>
        </w:rPr>
        <w:t>、咨询时间：上午</w:t>
      </w:r>
      <w:r>
        <w:rPr>
          <w:rFonts w:ascii="宋体" w:hAnsi="宋体"/>
          <w:color w:val="000000"/>
          <w:sz w:val="24"/>
          <w:highlight w:val="none"/>
        </w:rPr>
        <w:t xml:space="preserve"> 8</w:t>
      </w:r>
      <w:r>
        <w:rPr>
          <w:rFonts w:hint="eastAsia" w:ascii="宋体" w:hAnsi="宋体"/>
          <w:color w:val="000000"/>
          <w:sz w:val="24"/>
          <w:highlight w:val="none"/>
          <w:lang w:eastAsia="zh-CN"/>
        </w:rPr>
        <w:t>：</w:t>
      </w:r>
      <w:r>
        <w:rPr>
          <w:rFonts w:hint="eastAsia" w:ascii="宋体" w:hAnsi="宋体"/>
          <w:color w:val="000000"/>
          <w:sz w:val="24"/>
          <w:highlight w:val="none"/>
          <w:lang w:val="en-US" w:eastAsia="zh-CN"/>
        </w:rPr>
        <w:t>00</w:t>
      </w:r>
      <w:r>
        <w:rPr>
          <w:rFonts w:ascii="宋体" w:hAnsi="宋体"/>
          <w:color w:val="000000"/>
          <w:sz w:val="24"/>
          <w:highlight w:val="none"/>
        </w:rPr>
        <w:t>-12:00，下午14:</w:t>
      </w:r>
      <w:r>
        <w:rPr>
          <w:rFonts w:hint="eastAsia" w:ascii="宋体" w:hAnsi="宋体"/>
          <w:color w:val="000000"/>
          <w:sz w:val="24"/>
          <w:highlight w:val="none"/>
          <w:lang w:val="en-US" w:eastAsia="zh-CN"/>
        </w:rPr>
        <w:t>00</w:t>
      </w:r>
      <w:r>
        <w:rPr>
          <w:rFonts w:ascii="宋体" w:hAnsi="宋体"/>
          <w:color w:val="000000"/>
          <w:sz w:val="24"/>
          <w:highlight w:val="none"/>
        </w:rPr>
        <w:t>-17:</w:t>
      </w:r>
      <w:r>
        <w:rPr>
          <w:rFonts w:hint="eastAsia" w:ascii="宋体" w:hAnsi="宋体"/>
          <w:color w:val="000000"/>
          <w:sz w:val="24"/>
          <w:highlight w:val="none"/>
          <w:lang w:val="en-US" w:eastAsia="zh-CN"/>
        </w:rPr>
        <w:t>00</w:t>
      </w:r>
    </w:p>
    <w:p w14:paraId="7B569E01">
      <w:pPr>
        <w:spacing w:line="336" w:lineRule="auto"/>
        <w:ind w:firstLine="1560" w:firstLineChars="650"/>
        <w:jc w:val="right"/>
        <w:rPr>
          <w:rFonts w:ascii="宋体" w:hAnsi="宋体" w:cs="宋体"/>
          <w:color w:val="000000"/>
          <w:sz w:val="24"/>
          <w:highlight w:val="none"/>
        </w:rPr>
      </w:pPr>
    </w:p>
    <w:p w14:paraId="35C40EF8">
      <w:pPr>
        <w:spacing w:line="336" w:lineRule="auto"/>
        <w:ind w:firstLine="1560" w:firstLineChars="650"/>
        <w:jc w:val="right"/>
        <w:rPr>
          <w:rFonts w:ascii="宋体" w:hAnsi="宋体" w:cs="宋体"/>
          <w:color w:val="000000"/>
          <w:sz w:val="24"/>
          <w:highlight w:val="none"/>
        </w:rPr>
      </w:pPr>
    </w:p>
    <w:p w14:paraId="384914C1">
      <w:pPr>
        <w:spacing w:line="336" w:lineRule="auto"/>
        <w:ind w:firstLine="1560" w:firstLineChars="650"/>
        <w:jc w:val="right"/>
        <w:rPr>
          <w:rFonts w:ascii="宋体" w:hAnsi="宋体" w:cs="宋体"/>
          <w:color w:val="000000"/>
          <w:sz w:val="24"/>
          <w:highlight w:val="none"/>
        </w:rPr>
      </w:pPr>
      <w:r>
        <w:rPr>
          <w:rFonts w:ascii="宋体" w:hAnsi="宋体" w:cs="宋体"/>
          <w:color w:val="000000"/>
          <w:sz w:val="24"/>
          <w:highlight w:val="none"/>
        </w:rPr>
        <w:t xml:space="preserve">                   </w:t>
      </w:r>
      <w:r>
        <w:rPr>
          <w:rFonts w:hint="eastAsia" w:ascii="宋体" w:hAnsi="宋体" w:cs="宋体"/>
          <w:color w:val="000000"/>
          <w:sz w:val="24"/>
          <w:highlight w:val="none"/>
        </w:rPr>
        <w:t xml:space="preserve">    </w:t>
      </w:r>
    </w:p>
    <w:p w14:paraId="3CAF64D2">
      <w:pPr>
        <w:spacing w:line="336" w:lineRule="auto"/>
        <w:ind w:firstLine="1560" w:firstLineChars="650"/>
        <w:jc w:val="right"/>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eastAsia="zh-CN"/>
        </w:rPr>
        <w:t>广州中医药大学第一附属医院白云医院</w:t>
      </w:r>
      <w:r>
        <w:rPr>
          <w:rFonts w:hint="eastAsia" w:ascii="宋体" w:hAnsi="宋体" w:cs="宋体"/>
          <w:color w:val="000000"/>
          <w:sz w:val="24"/>
          <w:highlight w:val="none"/>
          <w:lang w:val="en-US" w:eastAsia="zh-CN"/>
        </w:rPr>
        <w:t>网络信息管理科</w:t>
      </w:r>
    </w:p>
    <w:p w14:paraId="20764156">
      <w:pPr>
        <w:spacing w:line="360" w:lineRule="auto"/>
        <w:ind w:firstLine="0" w:firstLineChars="0"/>
        <w:outlineLvl w:val="1"/>
        <w:rPr>
          <w:rFonts w:hint="default" w:ascii="宋体" w:hAnsi="宋体" w:eastAsia="宋体"/>
          <w:color w:val="0000FF"/>
          <w:sz w:val="24"/>
          <w:highlight w:val="none"/>
          <w:lang w:val="en-US" w:eastAsia="zh-CN"/>
        </w:rPr>
      </w:pPr>
      <w:r>
        <w:rPr>
          <w:rFonts w:hint="eastAsia" w:ascii="宋体" w:hAnsi="宋体" w:cs="宋体"/>
          <w:color w:val="000000"/>
          <w:sz w:val="24"/>
          <w:highlight w:val="none"/>
          <w:lang w:val="en-US" w:eastAsia="zh-CN"/>
        </w:rPr>
        <w:t xml:space="preserve">                                                      </w:t>
      </w:r>
      <w:r>
        <w:rPr>
          <w:rFonts w:hint="eastAsia" w:ascii="宋体" w:hAnsi="宋体" w:cs="宋体"/>
          <w:color w:val="0000FF"/>
          <w:sz w:val="24"/>
          <w:highlight w:val="none"/>
          <w:lang w:val="en-US" w:eastAsia="zh-CN"/>
        </w:rPr>
        <w:t xml:space="preserve">    </w:t>
      </w:r>
      <w:r>
        <w:rPr>
          <w:rFonts w:hint="eastAsia" w:ascii="宋体" w:hAnsi="宋体" w:cs="宋体"/>
          <w:color w:val="0000FF"/>
          <w:sz w:val="24"/>
          <w:highlight w:val="none"/>
        </w:rPr>
        <w:t>202</w:t>
      </w:r>
      <w:r>
        <w:rPr>
          <w:rFonts w:hint="eastAsia" w:ascii="宋体" w:hAnsi="宋体" w:cs="宋体"/>
          <w:color w:val="0000FF"/>
          <w:sz w:val="24"/>
          <w:highlight w:val="none"/>
          <w:lang w:val="en-US" w:eastAsia="zh-CN"/>
        </w:rPr>
        <w:t>4</w:t>
      </w:r>
      <w:r>
        <w:rPr>
          <w:rFonts w:hint="eastAsia" w:ascii="宋体" w:hAnsi="宋体" w:cs="宋体"/>
          <w:color w:val="0000FF"/>
          <w:sz w:val="24"/>
          <w:highlight w:val="none"/>
        </w:rPr>
        <w:t>年</w:t>
      </w:r>
      <w:r>
        <w:rPr>
          <w:rFonts w:hint="eastAsia" w:ascii="宋体" w:hAnsi="宋体" w:cs="宋体"/>
          <w:color w:val="0000FF"/>
          <w:sz w:val="24"/>
          <w:highlight w:val="none"/>
          <w:lang w:val="en-US" w:eastAsia="zh-CN"/>
        </w:rPr>
        <w:t>7</w:t>
      </w:r>
      <w:r>
        <w:rPr>
          <w:rFonts w:hint="eastAsia" w:ascii="宋体" w:hAnsi="宋体" w:cs="宋体"/>
          <w:color w:val="0000FF"/>
          <w:sz w:val="24"/>
          <w:highlight w:val="none"/>
        </w:rPr>
        <w:t>月</w:t>
      </w:r>
      <w:r>
        <w:rPr>
          <w:rFonts w:hint="eastAsia" w:ascii="宋体" w:hAnsi="宋体" w:cs="宋体"/>
          <w:color w:val="0000FF"/>
          <w:sz w:val="24"/>
          <w:highlight w:val="none"/>
          <w:lang w:val="en-US" w:eastAsia="zh-CN"/>
        </w:rPr>
        <w:t>30</w:t>
      </w:r>
      <w:r>
        <w:rPr>
          <w:rFonts w:hint="eastAsia" w:ascii="宋体" w:hAnsi="宋体" w:cs="宋体"/>
          <w:color w:val="0000FF"/>
          <w:sz w:val="24"/>
          <w:highlight w:val="none"/>
        </w:rPr>
        <w:t>日</w:t>
      </w:r>
    </w:p>
    <w:bookmarkEnd w:id="0"/>
    <w:p w14:paraId="201AA76C">
      <w:pPr>
        <w:rPr>
          <w:color w:val="0000FF"/>
        </w:rPr>
      </w:pPr>
    </w:p>
    <w:p w14:paraId="4612CE80"/>
    <w:sectPr>
      <w:footerReference r:id="rId3" w:type="default"/>
      <w:pgSz w:w="11906" w:h="16838"/>
      <w:pgMar w:top="1440" w:right="1077" w:bottom="1440" w:left="107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9B0A1">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p w14:paraId="03DCE38A">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C06CC"/>
    <w:multiLevelType w:val="singleLevel"/>
    <w:tmpl w:val="FDEC06C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jOTM5ZjY4OWU5OGVlNzg2YWJkMmM5NjI0NTQ5MmMifQ=="/>
  </w:docVars>
  <w:rsids>
    <w:rsidRoot w:val="00172A27"/>
    <w:rsid w:val="0FC71A98"/>
    <w:rsid w:val="15AF0CE3"/>
    <w:rsid w:val="1B3A60F5"/>
    <w:rsid w:val="3551083B"/>
    <w:rsid w:val="38EE3475"/>
    <w:rsid w:val="5B6D4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widowControl/>
      <w:overflowPunct w:val="0"/>
      <w:autoSpaceDE w:val="0"/>
      <w:autoSpaceDN w:val="0"/>
      <w:adjustRightInd w:val="0"/>
      <w:spacing w:before="120" w:after="120"/>
      <w:ind w:left="2520"/>
      <w:jc w:val="left"/>
      <w:textAlignment w:val="baseline"/>
    </w:pPr>
    <w:rPr>
      <w:rFonts w:ascii="Book Antiqua" w:hAnsi="Book Antiqua"/>
      <w:sz w:val="20"/>
      <w:szCs w:val="20"/>
    </w:r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表格文字"/>
    <w:basedOn w:val="1"/>
    <w:qFormat/>
    <w:uiPriority w:val="0"/>
    <w:pPr>
      <w:spacing w:before="25" w:after="25"/>
      <w:jc w:val="left"/>
    </w:pPr>
    <w:rPr>
      <w:rFonts w:ascii="Calibri" w:hAnsi="Calibri" w:eastAsia="宋体" w:cs="Times New Roman"/>
      <w:bCs/>
      <w:spacing w:val="10"/>
      <w:kern w:val="0"/>
      <w:sz w:val="24"/>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1094</Words>
  <Characters>1131</Characters>
  <Lines>0</Lines>
  <Paragraphs>0</Paragraphs>
  <TotalTime>0</TotalTime>
  <ScaleCrop>false</ScaleCrop>
  <LinksUpToDate>false</LinksUpToDate>
  <CharactersWithSpaces>1213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2024-07-30T03:15:00Z</dcterms:created>
  <dc:creator>Administrator</dc:creator>
  <cp:lastModifiedBy>Administrator</cp:lastModifiedBy>
  <cp:lastPrinted>2024-07-30T06:15:00Z</cp:lastPrinted>
  <dcterms:modified xsi:type="dcterms:W3CDTF">2024-08-05T00:38:12Z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BFD2CD8D07914D26BA7FDC84D2208291_11</vt:lpwstr>
  </property>
</Properties>
</file>